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  <w:lang w:val="en-GB" w:eastAsia="en-GB" w:bidi="ar-SA"/>
        </w:rPr>
        <w:drawing>
          <wp:inline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Un parteneriat european pentru integrare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Oferirea de oportunită</w:t>
      </w:r>
      <w:r w:rsidR="008579A1">
        <w:rPr>
          <w:rFonts w:ascii="Times New Roman" w:hAnsi="Times New Roman"/>
          <w:b/>
          <w:noProof/>
          <w:sz w:val="24"/>
        </w:rPr>
        <w:t>ț</w:t>
      </w:r>
      <w:r>
        <w:rPr>
          <w:rFonts w:ascii="Times New Roman" w:hAnsi="Times New Roman"/>
          <w:b/>
          <w:noProof/>
          <w:sz w:val="24"/>
        </w:rPr>
        <w:t>i pentru integrarea refugia</w:t>
      </w:r>
      <w:r w:rsidR="008579A1">
        <w:rPr>
          <w:rFonts w:ascii="Times New Roman" w:hAnsi="Times New Roman"/>
          <w:b/>
          <w:noProof/>
          <w:sz w:val="24"/>
        </w:rPr>
        <w:t>ț</w:t>
      </w:r>
      <w:r>
        <w:rPr>
          <w:rFonts w:ascii="Times New Roman" w:hAnsi="Times New Roman"/>
          <w:b/>
          <w:noProof/>
          <w:sz w:val="24"/>
        </w:rPr>
        <w:t>ilor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europeană a muncii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Recunoscând faptul că mobilitatea la nivel mondial a devenit o trăsătură inerentă a secolului</w:t>
      </w:r>
      <w:r w:rsidR="008579A1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 xml:space="preserve">XXI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că în ultimii ani numărul tot mai mare de persoane care au sosit în statele membre ale UE, în special persoane care au nevoie de protec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ie interna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ională, creează o serie de provocări pentru societă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ile din statele membre,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Recunoscând că acesta este un obiectiv important pentru ca statele membre să reu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ească să ob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ină un loc de muncă pentru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i, rapid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eficient, în scopul de a face fa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 crizei umanitare cu care se confruntă Europa, asigurându-se totodată că ace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tia pot contribui pe deplin la economia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la coeziunea societă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noastre,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Subliniind faptul că pentru integrarea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trebuie să existe un cadru juridic adecvat, investi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 suplimentare, luându-se în considerare diferitele niveluri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 ale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timpul necesar pentru o integrare eficientă a acestora,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iuni întreprinse de o multitudine de păr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 interesate, atât publice, cât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private,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faptul că doar un efort coordonat, depus de fiecare parte implicată în domeniile ei respective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ă, poate conduce la rezultate semnificative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durabile,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Recunoscând faptul că în acest domeniu au fost deja adoptate sau sunt în curs de a fi lansate numeroase ini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iative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ionale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locale, inclusiv de către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economici, dar că, pentru a răspunde la provocările predominante în materie, trebuie să se depună mai multe eforturi în direc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 punerii în aplicare a unei abordări cuprinzătoare care să le permită tuturor păr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interesate relevante să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ioneze la nivel local,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ional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european,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inând seama de diferitele rela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 profesionale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caracteristicile existente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la nivel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ional,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Subliniind că ocuparea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 este un element-cheie al procesului de integrare, astfel cum a eviden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iat Comisia Europeană în Planul său de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iune privind integrarea resortisan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din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ările ter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e, adoptat la </w:t>
      </w:r>
      <w:r w:rsidRPr="008579A1">
        <w:rPr>
          <w:rFonts w:ascii="Times New Roman" w:hAnsi="Times New Roman"/>
          <w:noProof/>
          <w:sz w:val="24"/>
        </w:rPr>
        <w:t>7</w:t>
      </w:r>
      <w:r>
        <w:rPr>
          <w:rFonts w:ascii="Times New Roman" w:hAnsi="Times New Roman"/>
          <w:noProof/>
          <w:sz w:val="24"/>
        </w:rPr>
        <w:t xml:space="preserve"> iunie </w:t>
      </w:r>
      <w:r w:rsidRPr="008579A1">
        <w:rPr>
          <w:rFonts w:ascii="Times New Roman" w:hAnsi="Times New Roman"/>
          <w:noProof/>
          <w:sz w:val="24"/>
        </w:rPr>
        <w:t>2016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 xml:space="preserve">,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că pie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ele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 favorabile incluziunii ar trebui să valorifice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talentele tuturor, astfel cum a accentuat Comisia</w:t>
      </w:r>
      <w:r w:rsidR="008579A1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>Europeană în Noua sa agendă pentru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 în Europa, adoptată la </w:t>
      </w:r>
      <w:r w:rsidRPr="008579A1">
        <w:rPr>
          <w:rFonts w:ascii="Times New Roman" w:hAnsi="Times New Roman"/>
          <w:noProof/>
          <w:sz w:val="24"/>
        </w:rPr>
        <w:t>10</w:t>
      </w:r>
      <w:r w:rsidR="008579A1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>iunie</w:t>
      </w:r>
      <w:r w:rsidR="008579A1">
        <w:rPr>
          <w:rFonts w:ascii="Times New Roman" w:hAnsi="Times New Roman"/>
          <w:noProof/>
          <w:sz w:val="24"/>
        </w:rPr>
        <w:t> </w:t>
      </w:r>
      <w:r w:rsidRPr="008579A1">
        <w:rPr>
          <w:rFonts w:ascii="Times New Roman" w:hAnsi="Times New Roman"/>
          <w:noProof/>
          <w:sz w:val="24"/>
        </w:rPr>
        <w:t>2016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Recunoscând rolul esen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ial îndeplinit de autorită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ile publice, în special în faza de primire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în momentul luării primelor măsuri în direc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 creării condi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iilor adecvate care favorizează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Salutând, pe de o parte, angajamentul pe care statele membre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l-au asumat în Concluziile Consiliului privind integrarea resortisan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ărilor ter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 afla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în situa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ie de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edere legală în UE, adoptate la </w:t>
      </w:r>
      <w:r w:rsidRPr="008579A1">
        <w:rPr>
          <w:rFonts w:ascii="Times New Roman" w:hAnsi="Times New Roman"/>
          <w:noProof/>
          <w:sz w:val="24"/>
        </w:rPr>
        <w:t>9</w:t>
      </w:r>
      <w:r>
        <w:rPr>
          <w:rFonts w:ascii="Times New Roman" w:hAnsi="Times New Roman"/>
          <w:noProof/>
          <w:sz w:val="24"/>
        </w:rPr>
        <w:t xml:space="preserve"> decembrie </w:t>
      </w:r>
      <w:r w:rsidRPr="008579A1">
        <w:rPr>
          <w:rFonts w:ascii="Times New Roman" w:hAnsi="Times New Roman"/>
          <w:noProof/>
          <w:sz w:val="24"/>
        </w:rPr>
        <w:t>2016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,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care se referă la concentrarea eforturilor lor asupra promovării integrării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a resortisan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ărilor ter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i, pe de altă parte, avizul Comitetului pentru ocuparea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 privind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muncii, astfel cum a fost aprobat de Consiliu la </w:t>
      </w:r>
      <w:r w:rsidRPr="008579A1">
        <w:rPr>
          <w:rFonts w:ascii="Times New Roman" w:hAnsi="Times New Roman"/>
          <w:noProof/>
          <w:sz w:val="24"/>
        </w:rPr>
        <w:t>15</w:t>
      </w:r>
      <w:r>
        <w:rPr>
          <w:rFonts w:ascii="Times New Roman" w:hAnsi="Times New Roman"/>
          <w:noProof/>
          <w:sz w:val="24"/>
        </w:rPr>
        <w:t xml:space="preserve"> iunie </w:t>
      </w:r>
      <w:r w:rsidRPr="008579A1">
        <w:rPr>
          <w:rFonts w:ascii="Times New Roman" w:hAnsi="Times New Roman"/>
          <w:noProof/>
          <w:sz w:val="24"/>
        </w:rPr>
        <w:t>2017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>, care invită statele membre să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ioneze rapid în domenii precum formarea lingvistică, dacă este posibil combinată cu practica profesională, formarea profesională, locuin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ele, asisten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medicală, îngrijirea copiilor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să asigure func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ionarea în sinergie a diferitelor procese care contribuie la integrare,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Subliniind rolul specific pe care îl au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economici în ceea ce prive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te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angajamentul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disponibilitatea acestora de a conlucra cu guvernele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cu alte păr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 interesate pentru a concepe, a elabora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pune în aplicare politici favorabile incluziunii, astfel cum au subliniat, printre altele, în declara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 lor referitoare la criza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prezentată cu ocazia reuniunii sociale tripartite la nivel înalt din </w:t>
      </w:r>
      <w:r w:rsidRPr="008579A1">
        <w:rPr>
          <w:rFonts w:ascii="Times New Roman" w:hAnsi="Times New Roman"/>
          <w:noProof/>
          <w:sz w:val="24"/>
        </w:rPr>
        <w:t>16</w:t>
      </w:r>
      <w:r>
        <w:rPr>
          <w:rFonts w:ascii="Times New Roman" w:hAnsi="Times New Roman"/>
          <w:noProof/>
          <w:sz w:val="24"/>
        </w:rPr>
        <w:t xml:space="preserve"> martie </w:t>
      </w:r>
      <w:r w:rsidRPr="008579A1">
        <w:rPr>
          <w:rFonts w:ascii="Times New Roman" w:hAnsi="Times New Roman"/>
          <w:noProof/>
          <w:sz w:val="24"/>
        </w:rPr>
        <w:t>2016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Subliniind faptul că egalitatea de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anse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tratament între lucrătorii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ionali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– în conformitate cu toate cadrele sau acordurile relevante la nivel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ional,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cu situa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 obiectivă 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elor acestora, ca parte a unor instrumente active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de care dispun persoanele în căutarea unui loc de muncă – este esen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ială pentru consolidarea solidarită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coeziunii sociale a societă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noastre,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Eviden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iind provocarea specifică de identificare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evaluare a aptitudinilor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elor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necesitatea de a moderniza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dezvolta în continuare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ele acestora pentru a facilita integrarea 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europeană a muncii, în special prin cursuri de limbă, învă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ământ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formare profesională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educa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ie antreprenorială,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Recunoscând rolul pe care îl poate avea antreprenoriatul în integrarea cu succes 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europeană a muncii,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Subliniind faptul că uceniciile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alte forme de învă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are la locul de muncă pot reprezenta un instrument esen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ial pentru integrarea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nevoia de a continua activitatea desfă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urată în cadrul Alian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europene pentru ucenicii,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Prin aderarea la prezentul parteneriat, depunem eforturi pentru a promova în continuare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în domeniile noastre respective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Prezentul parteneriat ar trebui să se bazeze pe următoarele principii: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8579A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tab/>
      </w:r>
      <w:r>
        <w:rPr>
          <w:rFonts w:ascii="Times New Roman" w:hAnsi="Times New Roman"/>
          <w:noProof/>
          <w:sz w:val="24"/>
        </w:rPr>
        <w:t>integrarea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ar trebui să fie sprijinită cât mai curând cu putin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ă, întrucât găsirea unui loc de muncă este un factor crucial pentru integrarea în via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economică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socială a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ării-gazdă;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8579A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tab/>
      </w:r>
      <w:r>
        <w:rPr>
          <w:rFonts w:ascii="Times New Roman" w:hAnsi="Times New Roman"/>
          <w:noProof/>
          <w:sz w:val="24"/>
        </w:rPr>
        <w:t>eforturile depuse în vederea unei integrări reu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ite ar trebui să fie benefice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să aduce un plus de valoare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întregii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 de muncă, întreprinderilor, economiei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societă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 în general, în a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a fel încât să nu se irosească nicio aptitudine sau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ă;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8579A1">
        <w:rPr>
          <w:rFonts w:ascii="Times New Roman" w:hAnsi="Times New Roman"/>
          <w:sz w:val="24"/>
        </w:rPr>
        <w:lastRenderedPageBreak/>
        <w:t>3</w:t>
      </w:r>
      <w:r>
        <w:rPr>
          <w:rFonts w:ascii="Times New Roman" w:hAnsi="Times New Roman"/>
          <w:sz w:val="24"/>
        </w:rPr>
        <w:t>.</w:t>
      </w:r>
      <w:r>
        <w:tab/>
      </w:r>
      <w:r>
        <w:rPr>
          <w:rFonts w:ascii="Times New Roman" w:hAnsi="Times New Roman"/>
          <w:noProof/>
          <w:sz w:val="24"/>
        </w:rPr>
        <w:t>integrarea cu succes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necesită o abordare care să implice mai multe păr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interesate, autorită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ile publice, serviciile de ocupare 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ei de muncă,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economici, organiza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patronale, camerele de comer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industrie, camerele de artizanat, întreprinderile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lucrătorii, angajatorii din domeniul serviciilor publice, furnizorii de educa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formare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organiza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societă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 civile, cu respectarea deplină a rolului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elor fiecăruia dintre ace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ti actori.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Pentru a promova prezentul parteneriat,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economici europeni se angajează să întreprindă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iuni în unul sau mai multe din domeniile următoare, în func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ie de priorită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ele lor: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promovarea parteneriatului european pentru integrare în rândul membrilor 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sensibilizarea acestora cu privire la condi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iile necesare pentru o integrare rapidă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eficace 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cu privire la avantajele sale economice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sociale, în strânsă cooperare cu autorită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ile publice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ionale;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colectarea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schimbul de exemple de ini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iative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cele mai bune practici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ionale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locale care vizează facilitarea integrării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care se referă la aspecte precum: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facilitarea identificării, evaluării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documentării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elor, aptitudinilor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calificărilor;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organizarea de programe de mentorat care să ajute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 să se integreze la locul de muncă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i/sau să sprijine dezvoltarea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elor acestora;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oferirea de cursuri de pregătire înainte de angajare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la locul de muncă;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furnizarea de informa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consiliere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cu privire la drepturile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obliga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care le revin în ceea ce prive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te accesul lor la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la locul de muncă, în conformitate cu legisla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practicile 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ionale;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acordarea de asisten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 angajatorilor în ceea ce prive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te recrutarea de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(de</w:t>
      </w:r>
      <w:r w:rsidR="008579A1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>exemplu, prin furnizarea de informa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 privind cadrul juridic, oferirea de cursuri de formare etc.);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sprijinirea formatorilor în adaptarea cursurilor la nevoile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ilor, de exemplu în cadrul formării profesionale,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inând seama în acela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timp de nevoile angajatorilor în materie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furnizarea de sprijin p</w:t>
      </w:r>
      <w:bookmarkStart w:id="0" w:name="_GoBack"/>
      <w:bookmarkEnd w:id="0"/>
      <w:r>
        <w:rPr>
          <w:rFonts w:ascii="Times New Roman" w:hAnsi="Times New Roman"/>
          <w:noProof/>
          <w:sz w:val="24"/>
        </w:rPr>
        <w:t>ost-plasament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după ce încep să lucreze pentru a asigura durabilitatea locurilor de muncă;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promovarea incluziunii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nediscriminării la locul de muncă;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furnizarea de feedback autorită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publice, de la toate nivelurile corespunzătoare, despre provocările specifice cu care se confruntă în ceea ce prive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te integrarea economică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socială 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continuarea cooperării cu ace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tia,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tuturor celorlalte păr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interesate relevante, pentru a sprijini integrarea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ei de muncă în domeniile cele mai relevante din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ările lor respective;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încurajarea unei cooperări mai strânse între întreprinderile publice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private, organiza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patronale, camerele de comer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industrie, camerele de artizanat, sindicate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asocia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migran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ilor, prin schimburi de obiective, metode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practici legate de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muncii. </w:t>
      </w:r>
    </w:p>
    <w:p w:rsidR="00244188" w:rsidRPr="00244188" w:rsidRDefault="00244188" w:rsidP="008579A1">
      <w:pPr>
        <w:keepNext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Comisia Europeană depune eforturi pentru: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 xml:space="preserve">a colabora în continuare cu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economici, cu angajatorii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cu al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actori-cheie pentru a sprijini îndeplinirea obiectivelor Parteneriatului european pentru integrare;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continua abordarea chestiunii integrării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a muncii în grupurile, comitetele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re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elele relevante la nivelul UE, cum ar fi Comitetul pentru ocuparea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muncă, re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eaua de integrare europeană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Re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eaua europeană a serviciilor publice de ocupare 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ei de muncă;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 colabora cu organismele relevante ale UE, cum ar fi Comitetul Regiunilor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Comitetul</w:t>
      </w:r>
      <w:r w:rsidR="00001B52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 xml:space="preserve">Economic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Social European, în domeniul integrării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</w:t>
      </w:r>
      <w:r w:rsidR="00001B52">
        <w:rPr>
          <w:rFonts w:ascii="Times New Roman" w:hAnsi="Times New Roman"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>muncii;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promova sinergii între fondurile UE relevante pentru a sprijini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muncii, în conformitate cu Planul de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iune privind integrarea resortisan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ărilor ter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>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sprijini, în cadrul Fondului pentru azil, migra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integrare, proiecte care promovează schimbul de bune practici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 experien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ă,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crearea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dezvoltarea de re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ele transna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ionale care vizează facilitarea integrării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 continua să sprijine identificarea, evaluarea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validarea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transparen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în materie de calificări ale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ilor, inclusiv prin instrumentele elaborate în cadrul Noii agende pentru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 în Europa, cum ar fi „instrumentul de stabilire a profilului de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 al resortisan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din 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ările ter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e”;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asigura sinergiile cu alte ini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iative conexe la nivel european, în special Alian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europeană pentru ucenicii menită să sprijine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europeană a muncii prin intermediul stagiilor de ucenicie;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promova antreprenoriatul în rândul migran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ilor, inclusiv al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ilor, în conformitate cu Planul de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iune Antreprenoriat </w:t>
      </w:r>
      <w:r w:rsidRPr="008579A1">
        <w:rPr>
          <w:rFonts w:ascii="Times New Roman" w:hAnsi="Times New Roman"/>
          <w:noProof/>
          <w:sz w:val="24"/>
        </w:rPr>
        <w:t>2020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;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conferi vizibilitate la nivel european activită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ilor puse în practică de către angajatori pentru a sprijini integrarea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ilor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altor migran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 pe pia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a muncii prin intermediul ini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iativei „Angajatorii î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unesc eforturile pentru a contribui la integrare”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Recunoa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tem faptul că aceste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iuni necesită o abordare multiparticipativă, implicând partenerii sociali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economici, organiza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iile comerciale, Comisia Europeană, autorită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ile statelor membre, inclusiv serviciile publice pentru ocuparea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ei de muncă, întreprinderile mari, IMM-urile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angajatorii din domeniul serviciilor publice, camerele de comer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industrie, camerele de artizanat, furnizorii de educa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formare, societatea civilă, precum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refugia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ii în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Noi, Comisia Europeană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 xml:space="preserve">i partenerii Comitetului Economic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Social European, ne angajăm să ne reunim periodic pentru a analiza rezultatele ob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inute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a planifica eventuale ac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iuni viitoare.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br w:type="page"/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Semnături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Pentru Comisie: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 Avramopoulos, comisar pentru migra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ie, afaceri interne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cetă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enie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comisar pentru ocuparea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muncă, afaceri sociale, competen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 xml:space="preserve">e </w:t>
      </w:r>
      <w:r w:rsidR="008579A1">
        <w:rPr>
          <w:rFonts w:ascii="Times New Roman" w:hAnsi="Times New Roman"/>
          <w:noProof/>
          <w:sz w:val="24"/>
        </w:rPr>
        <w:t>ș</w:t>
      </w:r>
      <w:r>
        <w:rPr>
          <w:rFonts w:ascii="Times New Roman" w:hAnsi="Times New Roman"/>
          <w:noProof/>
          <w:sz w:val="24"/>
        </w:rPr>
        <w:t>i mobilitatea for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ei de muncă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Pentru partenerii Comitetului Economic </w:t>
      </w:r>
      <w:r w:rsidR="008579A1">
        <w:rPr>
          <w:rFonts w:ascii="Times New Roman" w:hAnsi="Times New Roman"/>
          <w:b/>
          <w:noProof/>
          <w:sz w:val="24"/>
        </w:rPr>
        <w:t>ș</w:t>
      </w:r>
      <w:r>
        <w:rPr>
          <w:rFonts w:ascii="Times New Roman" w:hAnsi="Times New Roman"/>
          <w:b/>
          <w:noProof/>
          <w:sz w:val="24"/>
        </w:rPr>
        <w:t>i Social European: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secretar general al Confedera</w:t>
      </w:r>
      <w:r w:rsidR="008579A1">
        <w:rPr>
          <w:rFonts w:ascii="Times New Roman" w:hAnsi="Times New Roman"/>
          <w:noProof/>
          <w:sz w:val="24"/>
        </w:rPr>
        <w:t>ț</w:t>
      </w:r>
      <w:r>
        <w:rPr>
          <w:rFonts w:ascii="Times New Roman" w:hAnsi="Times New Roman"/>
          <w:noProof/>
          <w:sz w:val="24"/>
        </w:rPr>
        <w:t>iei Europene a Sindicatelor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Beyrer, director general al BusinessEurope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secretar general al CEEP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Véronique Willems, secretar general al UEAPME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Arnaldo Abruzzini, director al EUROCHAMBRES</w:t>
      </w:r>
    </w:p>
    <w:p w:rsidR="00BB221D" w:rsidRDefault="00015716"/>
    <w:sectPr w:rsidR="00BB221D" w:rsidSect="001472FF">
      <w:footerReference w:type="default" r:id="rId9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15716">
      <w:rPr>
        <w:noProof/>
      </w:rPr>
      <w:t>4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  <w:t>Termenul „refugia</w:t>
      </w:r>
      <w:r w:rsidR="008579A1">
        <w:t>ț</w:t>
      </w:r>
      <w:r>
        <w:t xml:space="preserve">i” este folosit în titlu </w:t>
      </w:r>
      <w:r w:rsidR="008579A1">
        <w:t>ș</w:t>
      </w:r>
      <w:r>
        <w:t>i în text din motive de simplitate, dar ar trebui să fie interpretat în sensul că vizează to</w:t>
      </w:r>
      <w:r w:rsidR="008579A1">
        <w:t>ț</w:t>
      </w:r>
      <w:r>
        <w:t>i resortisan</w:t>
      </w:r>
      <w:r w:rsidR="008579A1">
        <w:t>ț</w:t>
      </w:r>
      <w:r>
        <w:t xml:space="preserve">ii </w:t>
      </w:r>
      <w:r w:rsidR="008579A1">
        <w:t>ț</w:t>
      </w:r>
      <w:r>
        <w:t>ărilor ter</w:t>
      </w:r>
      <w:r w:rsidR="008579A1">
        <w:t>ț</w:t>
      </w:r>
      <w:r>
        <w:t>e care se află în situa</w:t>
      </w:r>
      <w:r w:rsidR="008579A1">
        <w:t>ț</w:t>
      </w:r>
      <w:r>
        <w:t xml:space="preserve">ie de </w:t>
      </w:r>
      <w:r w:rsidR="008579A1">
        <w:t>ș</w:t>
      </w:r>
      <w:r>
        <w:t>edere legală pe teritoriul unui stat membru din motive umanitare sau de protec</w:t>
      </w:r>
      <w:r w:rsidR="008579A1">
        <w:t>ț</w:t>
      </w:r>
      <w:r>
        <w:t xml:space="preserve">ie </w:t>
      </w:r>
      <w:r w:rsidR="008579A1">
        <w:t>ș</w:t>
      </w:r>
      <w:r>
        <w:t>i cărora li s-a acordat accesul la pia</w:t>
      </w:r>
      <w:r w:rsidR="008579A1">
        <w:t>ț</w:t>
      </w:r>
      <w:r>
        <w:t>a for</w:t>
      </w:r>
      <w:r w:rsidR="008579A1">
        <w:t>ț</w:t>
      </w:r>
      <w:r>
        <w:t>ei de muncă, în conformitate cu legisla</w:t>
      </w:r>
      <w:r w:rsidR="008579A1">
        <w:t>ț</w:t>
      </w:r>
      <w:r>
        <w:t>ia na</w:t>
      </w:r>
      <w:r w:rsidR="008579A1">
        <w:t>ț</w:t>
      </w:r>
      <w:r>
        <w:t>ională a statului membru respectiv.</w:t>
      </w:r>
    </w:p>
  </w:footnote>
  <w:footnote w:id="2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</w:t>
      </w:r>
      <w:r w:rsidRPr="008579A1">
        <w:t>2016</w:t>
      </w:r>
      <w:r>
        <w:t xml:space="preserve">) </w:t>
      </w:r>
      <w:r w:rsidRPr="008579A1">
        <w:t>377</w:t>
      </w:r>
      <w:r>
        <w:t xml:space="preserve"> final</w:t>
      </w:r>
    </w:p>
  </w:footnote>
  <w:footnote w:id="3"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</w:t>
      </w:r>
      <w:r w:rsidRPr="008579A1">
        <w:t>2016</w:t>
      </w:r>
      <w:r>
        <w:t xml:space="preserve">) </w:t>
      </w:r>
      <w:r w:rsidRPr="008579A1">
        <w:t>381</w:t>
      </w:r>
      <w:r>
        <w:t xml:space="preserve"> final.</w:t>
      </w:r>
    </w:p>
  </w:footnote>
  <w:footnote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</w:t>
        </w:r>
        <w:r w:rsidRPr="008579A1">
          <w:rPr>
            <w:rStyle w:val="Hyperlink"/>
          </w:rPr>
          <w:t>15312</w:t>
        </w:r>
        <w:r>
          <w:rPr>
            <w:rStyle w:val="Hyperlink"/>
          </w:rPr>
          <w:t>-</w:t>
        </w:r>
        <w:r w:rsidRPr="008579A1">
          <w:rPr>
            <w:rStyle w:val="Hyperlink"/>
          </w:rPr>
          <w:t>2016</w:t>
        </w:r>
        <w:r>
          <w:rPr>
            <w:rStyle w:val="Hyperlink"/>
          </w:rPr>
          <w:t>-INIT/ro/pdf</w:t>
        </w:r>
      </w:hyperlink>
    </w:p>
  </w:footnote>
  <w:footnote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</w:t>
        </w:r>
        <w:r w:rsidRPr="008579A1">
          <w:rPr>
            <w:rStyle w:val="Hyperlink"/>
          </w:rPr>
          <w:t>9258</w:t>
        </w:r>
        <w:r>
          <w:rPr>
            <w:rStyle w:val="Hyperlink"/>
          </w:rPr>
          <w:t>-</w:t>
        </w:r>
        <w:r w:rsidRPr="008579A1">
          <w:rPr>
            <w:rStyle w:val="Hyperlink"/>
          </w:rPr>
          <w:t>2017</w:t>
        </w:r>
        <w:r>
          <w:rPr>
            <w:rStyle w:val="Hyperlink"/>
          </w:rPr>
          <w:t>-INIT/ro/pdf</w:t>
        </w:r>
      </w:hyperlink>
    </w:p>
  </w:footnote>
  <w:footnote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</w:t>
        </w:r>
        <w:r w:rsidRPr="008579A1">
          <w:rPr>
            <w:rStyle w:val="Hyperlink"/>
          </w:rPr>
          <w:t>521</w:t>
        </w:r>
        <w:r>
          <w:rPr>
            <w:rStyle w:val="Hyperlink"/>
          </w:rPr>
          <w:t>&amp;langId=en&amp;agreementId=</w:t>
        </w:r>
        <w:r w:rsidRPr="008579A1">
          <w:rPr>
            <w:rStyle w:val="Hyperlink"/>
          </w:rPr>
          <w:t>5464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w:id="7"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</w:t>
      </w:r>
      <w:r w:rsidRPr="008579A1">
        <w:rPr>
          <w:rFonts w:ascii="Times New Roman" w:hAnsi="Times New Roman"/>
          <w:color w:val="auto"/>
          <w:sz w:val="20"/>
        </w:rPr>
        <w:t>2016</w:t>
      </w:r>
      <w:r>
        <w:rPr>
          <w:rFonts w:ascii="Times New Roman" w:hAnsi="Times New Roman"/>
          <w:color w:val="auto"/>
          <w:sz w:val="20"/>
        </w:rPr>
        <w:t xml:space="preserve">) </w:t>
      </w:r>
      <w:r w:rsidRPr="008579A1">
        <w:rPr>
          <w:rFonts w:ascii="Times New Roman" w:hAnsi="Times New Roman"/>
          <w:color w:val="auto"/>
          <w:sz w:val="20"/>
        </w:rPr>
        <w:t>377</w:t>
      </w:r>
      <w:r>
        <w:rPr>
          <w:rFonts w:ascii="Times New Roman" w:hAnsi="Times New Roman"/>
          <w:color w:val="auto"/>
          <w:sz w:val="20"/>
        </w:rPr>
        <w:t xml:space="preserve"> final.</w:t>
      </w:r>
    </w:p>
  </w:footnote>
  <w:footnote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COM/</w:t>
      </w:r>
      <w:r w:rsidRPr="008579A1">
        <w:t>2012</w:t>
      </w:r>
      <w:r>
        <w:t>/</w:t>
      </w:r>
      <w:r w:rsidRPr="008579A1">
        <w:t>0795</w:t>
      </w:r>
      <w:r>
        <w:t xml:space="preserve"> final.</w:t>
      </w:r>
    </w:p>
  </w:footnote>
  <w:footnote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001B52"/>
    <w:rsid w:val="00015716"/>
    <w:rsid w:val="00244188"/>
    <w:rsid w:val="003B1CA7"/>
    <w:rsid w:val="004E0FB0"/>
    <w:rsid w:val="006B3CF8"/>
    <w:rsid w:val="007D53D4"/>
    <w:rsid w:val="008579A1"/>
    <w:rsid w:val="009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ro/pdf" TargetMode="External"/><Relationship Id="rId1" Type="http://schemas.openxmlformats.org/officeDocument/2006/relationships/hyperlink" Target="http://data.consilium.europa.eu/doc/document/ST-15312-2016-INIT/ro/pdf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1741</Words>
  <Characters>10503</Characters>
  <Application>Microsoft Office Word</Application>
  <DocSecurity>0</DocSecurity>
  <Lines>194</Lines>
  <Paragraphs>55</Paragraphs>
  <ScaleCrop>false</ScaleCrop>
  <Company>European Commission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DARABANA-IONESCU Daniela (DGT)</cp:lastModifiedBy>
  <cp:revision>6</cp:revision>
  <dcterms:created xsi:type="dcterms:W3CDTF">2018-01-17T15:32:00Z</dcterms:created>
  <dcterms:modified xsi:type="dcterms:W3CDTF">2018-02-01T07:52:00Z</dcterms:modified>
</cp:coreProperties>
</file>