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B42" w:rsidRPr="000858F9" w:rsidRDefault="00107B42" w:rsidP="00107B42">
      <w:bookmarkStart w:id="0" w:name="_GoBack"/>
      <w:bookmarkEnd w:id="0"/>
    </w:p>
    <w:p w:rsidR="00107B42" w:rsidRPr="000858F9" w:rsidRDefault="00107B42" w:rsidP="00107B42"/>
    <w:p w:rsidR="00E66683" w:rsidRPr="00E648DE" w:rsidRDefault="00E66683" w:rsidP="00E66683">
      <w:pPr>
        <w:jc w:val="center"/>
        <w:rPr>
          <w:b/>
          <w:sz w:val="24"/>
        </w:rPr>
      </w:pPr>
      <w:r w:rsidRPr="00E648DE">
        <w:rPr>
          <w:b/>
          <w:sz w:val="24"/>
        </w:rPr>
        <w:t>Position de la CES</w:t>
      </w:r>
    </w:p>
    <w:p w:rsidR="00E66683" w:rsidRPr="00E648DE" w:rsidRDefault="00E66683" w:rsidP="00E66683">
      <w:pPr>
        <w:jc w:val="center"/>
        <w:rPr>
          <w:b/>
          <w:sz w:val="24"/>
        </w:rPr>
      </w:pPr>
      <w:r w:rsidRPr="00E648DE">
        <w:rPr>
          <w:b/>
          <w:sz w:val="24"/>
        </w:rPr>
        <w:t>Orientation pour un nouveau cadre européen relatif aux droits à l'information, à la consultation et à la représentation au sein des conseils d’administration et de supervision</w:t>
      </w:r>
    </w:p>
    <w:p w:rsidR="00E66683" w:rsidRDefault="00E66683" w:rsidP="00CB3F08"/>
    <w:p w:rsidR="00E66683" w:rsidRDefault="00E66683" w:rsidP="001A4C15">
      <w:pPr>
        <w:jc w:val="center"/>
      </w:pPr>
      <w:r>
        <w:t xml:space="preserve">Adoptée lors du Comité exécutif extraordinaire </w:t>
      </w:r>
      <w:proofErr w:type="gramStart"/>
      <w:r>
        <w:t xml:space="preserve">du </w:t>
      </w:r>
      <w:r w:rsidR="007F4311">
        <w:t>1</w:t>
      </w:r>
      <w:r>
        <w:t>3 avril 2016</w:t>
      </w:r>
      <w:proofErr w:type="gramEnd"/>
      <w:r>
        <w:t xml:space="preserve"> à La Haye et du Comité exécutif du 9 juin 2016 à Bruxelles</w:t>
      </w:r>
    </w:p>
    <w:p w:rsidR="00E66683" w:rsidRPr="00E66683" w:rsidRDefault="00E66683" w:rsidP="001A4C15">
      <w:pPr>
        <w:pBdr>
          <w:bottom w:val="single" w:sz="4" w:space="1" w:color="FF0000"/>
        </w:pBdr>
        <w:jc w:val="center"/>
      </w:pPr>
    </w:p>
    <w:p w:rsidR="00E66683" w:rsidRDefault="00E66683" w:rsidP="00CB3F08"/>
    <w:p w:rsidR="00E66683" w:rsidRPr="00E66683" w:rsidRDefault="00E66683" w:rsidP="00CB3F08"/>
    <w:p w:rsidR="002677FA" w:rsidRPr="00CB3F08" w:rsidRDefault="007D351A" w:rsidP="00CB3F08">
      <w:pPr>
        <w:rPr>
          <w:b/>
          <w:u w:val="single"/>
        </w:rPr>
      </w:pPr>
      <w:r>
        <w:rPr>
          <w:b/>
          <w:u w:val="single"/>
        </w:rPr>
        <w:t>Contexte</w:t>
      </w:r>
    </w:p>
    <w:p w:rsidR="002677FA" w:rsidRPr="00CB3F08" w:rsidRDefault="002677FA" w:rsidP="00CB3F08"/>
    <w:p w:rsidR="002677FA" w:rsidRPr="007D351A" w:rsidRDefault="007D351A" w:rsidP="00E66683">
      <w:pPr>
        <w:pStyle w:val="ListNumber"/>
        <w:numPr>
          <w:ilvl w:val="0"/>
          <w:numId w:val="0"/>
        </w:numPr>
      </w:pPr>
      <w:r w:rsidRPr="007D351A">
        <w:t>Le Congrès d’Athènes a donné mandat au Secrétariat de la CES</w:t>
      </w:r>
      <w:r>
        <w:t xml:space="preserve"> pour entreprendre un travail en profondeur sur la représentation des travailleurs au </w:t>
      </w:r>
      <w:r w:rsidR="00123278">
        <w:t>sein</w:t>
      </w:r>
      <w:r>
        <w:t xml:space="preserve"> des conseils d’administration</w:t>
      </w:r>
      <w:r w:rsidR="004271DB">
        <w:t xml:space="preserve"> et de supervision</w:t>
      </w:r>
      <w:r>
        <w:t xml:space="preserve">. Plusieurs groupes d’experts se sont particulièrement penchés sur les possibilités de définir les grands principes de la directive sur le statut de la </w:t>
      </w:r>
      <w:r w:rsidR="00AF321D">
        <w:t>S</w:t>
      </w:r>
      <w:r>
        <w:t>ociété européenne pour s’assurer qu’elle atteigne son objectif</w:t>
      </w:r>
      <w:r w:rsidR="00AF321D">
        <w:t xml:space="preserve"> et ont également discut</w:t>
      </w:r>
      <w:r w:rsidR="00123278">
        <w:t>é</w:t>
      </w:r>
      <w:r w:rsidR="00AF321D">
        <w:t xml:space="preserve"> des différentes options pour élargir la représentation dans les conseils d’administration en Europe. Sur base du nouveau consensus auquel il est parvenu en octobre 2014, le Comité exécutif de la CES a adopté une résolution</w:t>
      </w:r>
      <w:r w:rsidR="00E66683">
        <w:rPr>
          <w:rStyle w:val="FootnoteReference"/>
        </w:rPr>
        <w:footnoteReference w:id="1"/>
      </w:r>
      <w:r w:rsidR="00AF321D">
        <w:t xml:space="preserve"> réclamant une directive présentant une architecture nouvelle et intégrée pour l’implication des travailleurs dans les différentes formes de sociétés européennes. S’appuyant sur l’acquis communautaire existant, la directive doit définir des normes </w:t>
      </w:r>
      <w:r w:rsidR="00123278">
        <w:t>exigeantes</w:t>
      </w:r>
      <w:r w:rsidR="00AF321D">
        <w:t xml:space="preserve"> en matière d’information et de consultation et introduire des normes minimales ambitieuses pour la représentation des travailleurs </w:t>
      </w:r>
      <w:r w:rsidR="00123278">
        <w:t>au sein des</w:t>
      </w:r>
      <w:r w:rsidR="00AF321D">
        <w:t xml:space="preserve"> conseils d’administration.</w:t>
      </w:r>
    </w:p>
    <w:p w:rsidR="002677FA" w:rsidRPr="007D351A" w:rsidRDefault="002677FA" w:rsidP="00E66683">
      <w:pPr>
        <w:pStyle w:val="ListNumber"/>
        <w:numPr>
          <w:ilvl w:val="0"/>
          <w:numId w:val="0"/>
        </w:numPr>
        <w:ind w:left="360"/>
      </w:pPr>
    </w:p>
    <w:p w:rsidR="002677FA" w:rsidRPr="00AF321D" w:rsidRDefault="00AF321D" w:rsidP="00E66683">
      <w:pPr>
        <w:pStyle w:val="ListNumber"/>
        <w:numPr>
          <w:ilvl w:val="0"/>
          <w:numId w:val="0"/>
        </w:numPr>
      </w:pPr>
      <w:r w:rsidRPr="00AF321D">
        <w:t>Cette r</w:t>
      </w:r>
      <w:r>
        <w:t>é</w:t>
      </w:r>
      <w:r w:rsidRPr="00AF321D">
        <w:t>solution est une autre étape importante pour le mouvement syndical européen.</w:t>
      </w:r>
      <w:r w:rsidR="003C7AE9">
        <w:t xml:space="preserve"> C’est la première fois que nous demandons des règles du jeu équitables communes concernant le droit des travailleurs à </w:t>
      </w:r>
      <w:r w:rsidR="00A339F2">
        <w:t>être</w:t>
      </w:r>
      <w:r w:rsidR="003C7AE9">
        <w:t xml:space="preserve"> représent</w:t>
      </w:r>
      <w:r w:rsidR="00A339F2">
        <w:t>és</w:t>
      </w:r>
      <w:r w:rsidR="003C7AE9">
        <w:t xml:space="preserve"> dans les conseils d’administration. La résolution insiste toutefois sur la nécessité de préserver les traditions nationales. L’idée n’est pas d’intervenir dans des situations purement internes mais de proposer une vision durable pour le droit européen des sociétés. Chaque fois qu’une entreprise voudra profiter des opportunités offertes par le droit européen des sociétés, elle devra en même temps adhérer </w:t>
      </w:r>
      <w:r w:rsidR="00D4315F">
        <w:t>à des</w:t>
      </w:r>
      <w:r w:rsidR="003C7AE9">
        <w:t xml:space="preserve"> valeurs européennes communes. Le nouveau cadre deviendrait la référence unique en matière d’information, de consultation et de représentation au conseil d’administration pour les formes de sociétés européennes (</w:t>
      </w:r>
      <w:r w:rsidR="00EF4FA1">
        <w:t>telles que</w:t>
      </w:r>
      <w:r w:rsidR="003C7AE9">
        <w:t xml:space="preserve"> SE</w:t>
      </w:r>
      <w:r w:rsidR="00EF4FA1">
        <w:t xml:space="preserve"> et </w:t>
      </w:r>
      <w:r w:rsidR="003C7AE9">
        <w:t>SCE</w:t>
      </w:r>
      <w:r w:rsidR="007A6B89">
        <w:t xml:space="preserve">). Il s’appliquerait également aux sociétés souhaitant </w:t>
      </w:r>
      <w:r w:rsidR="00EF4FA1">
        <w:t xml:space="preserve">recourir à des </w:t>
      </w:r>
      <w:r w:rsidR="00EF4FA1" w:rsidRPr="00EF4FA1">
        <w:t xml:space="preserve">instruments législatifs européens relatifs au droit des sociétés </w:t>
      </w:r>
      <w:r w:rsidR="00EF4FA1">
        <w:t>facilitant la mobilité des entreprises</w:t>
      </w:r>
      <w:r w:rsidR="003D428B">
        <w:t xml:space="preserve"> telles que</w:t>
      </w:r>
      <w:r w:rsidR="007A6B89">
        <w:t xml:space="preserve"> fusion</w:t>
      </w:r>
      <w:r w:rsidR="003D428B">
        <w:t>s</w:t>
      </w:r>
      <w:r w:rsidR="007A6B89">
        <w:t xml:space="preserve"> transfrontalière</w:t>
      </w:r>
      <w:r w:rsidR="003D428B">
        <w:t>s</w:t>
      </w:r>
      <w:r w:rsidR="007A6B89">
        <w:t>, scissions transfrontalières ou transfert</w:t>
      </w:r>
      <w:r w:rsidR="003D428B">
        <w:t>s</w:t>
      </w:r>
      <w:r w:rsidR="007A6B89">
        <w:t xml:space="preserve"> transfrontalier</w:t>
      </w:r>
      <w:r w:rsidR="003D428B">
        <w:t>s</w:t>
      </w:r>
      <w:r w:rsidR="007A6B89">
        <w:t xml:space="preserve"> de siège social.</w:t>
      </w:r>
    </w:p>
    <w:p w:rsidR="00CB3F08" w:rsidRPr="00AF321D" w:rsidRDefault="00CB3F08" w:rsidP="00E66683">
      <w:pPr>
        <w:pStyle w:val="ListParagraph"/>
      </w:pPr>
    </w:p>
    <w:p w:rsidR="002677FA" w:rsidRPr="007A6B89" w:rsidRDefault="007A6B89" w:rsidP="00EF4FA1">
      <w:pPr>
        <w:pStyle w:val="ListNumber"/>
        <w:numPr>
          <w:ilvl w:val="0"/>
          <w:numId w:val="0"/>
        </w:numPr>
      </w:pPr>
      <w:r>
        <w:t>C</w:t>
      </w:r>
      <w:r w:rsidRPr="007A6B89">
        <w:t xml:space="preserve">oncevoir un instrument s’appliquant au droit européen des sociétés sans </w:t>
      </w:r>
      <w:r>
        <w:t xml:space="preserve">nuire aux traditions nationales est un exercice délicat. </w:t>
      </w:r>
      <w:r w:rsidR="003D428B">
        <w:t xml:space="preserve">Une clause de non-régression est nécessaire. </w:t>
      </w:r>
      <w:r>
        <w:t>Le Secrétariat de la CES a effectué un travail considérable pour convertir la demande générale de 2014 en propositions concrètes, en particulier en organisant un séminaire d’experts</w:t>
      </w:r>
      <w:r w:rsidR="00731C6B">
        <w:t xml:space="preserve"> sur l’implication des travailleurs</w:t>
      </w:r>
      <w:r w:rsidR="003D428B" w:rsidRPr="003D428B">
        <w:rPr>
          <w:lang w:eastAsia="fr-BE"/>
        </w:rPr>
        <w:t xml:space="preserve"> </w:t>
      </w:r>
      <w:r w:rsidR="003D428B" w:rsidRPr="003D428B">
        <w:t xml:space="preserve">les 18-19 février </w:t>
      </w:r>
      <w:r w:rsidR="003D428B">
        <w:t>et une réunion supplémentaire le 19 mai 2016</w:t>
      </w:r>
      <w:r w:rsidR="00731C6B">
        <w:t>.</w:t>
      </w:r>
    </w:p>
    <w:p w:rsidR="007F4311" w:rsidRDefault="007F4311">
      <w:pPr>
        <w:spacing w:line="240" w:lineRule="auto"/>
        <w:jc w:val="left"/>
      </w:pPr>
      <w:r>
        <w:br w:type="page"/>
      </w:r>
    </w:p>
    <w:p w:rsidR="00CB3F08" w:rsidRPr="007A6B89" w:rsidRDefault="00CB3F08" w:rsidP="00E66683">
      <w:pPr>
        <w:pStyle w:val="ListParagraph"/>
      </w:pPr>
    </w:p>
    <w:p w:rsidR="002677FA" w:rsidRPr="00731C6B" w:rsidRDefault="00731C6B" w:rsidP="00E66683">
      <w:pPr>
        <w:rPr>
          <w:rStyle w:val="BOLD"/>
          <w:u w:val="single"/>
          <w:lang w:val="fr-BE"/>
        </w:rPr>
      </w:pPr>
      <w:r w:rsidRPr="00731C6B">
        <w:rPr>
          <w:rStyle w:val="BOLD"/>
          <w:u w:val="single"/>
          <w:lang w:val="fr-BE"/>
        </w:rPr>
        <w:t>Les raisons d’une d</w:t>
      </w:r>
      <w:r w:rsidR="002677FA" w:rsidRPr="00731C6B">
        <w:rPr>
          <w:rStyle w:val="BOLD"/>
          <w:u w:val="single"/>
          <w:lang w:val="fr-BE"/>
        </w:rPr>
        <w:t xml:space="preserve">irective – </w:t>
      </w:r>
      <w:r w:rsidRPr="00731C6B">
        <w:rPr>
          <w:rStyle w:val="BOLD"/>
          <w:u w:val="single"/>
          <w:lang w:val="fr-BE"/>
        </w:rPr>
        <w:t>quelle est la valeur ajoutée d’une représentation des travailleurs dans les conseils d’administration</w:t>
      </w:r>
      <w:r>
        <w:rPr>
          <w:rStyle w:val="BOLD"/>
          <w:u w:val="single"/>
          <w:lang w:val="fr-BE"/>
        </w:rPr>
        <w:t> ?</w:t>
      </w:r>
    </w:p>
    <w:p w:rsidR="00CB3F08" w:rsidRPr="00731C6B" w:rsidRDefault="00CB3F08" w:rsidP="00EF4FA1">
      <w:pPr>
        <w:pStyle w:val="ListNumber"/>
        <w:numPr>
          <w:ilvl w:val="0"/>
          <w:numId w:val="0"/>
        </w:numPr>
        <w:ind w:left="360"/>
      </w:pPr>
    </w:p>
    <w:p w:rsidR="002677FA" w:rsidRPr="00731C6B" w:rsidRDefault="00731C6B" w:rsidP="001A4C15">
      <w:pPr>
        <w:pStyle w:val="ListNumber"/>
        <w:numPr>
          <w:ilvl w:val="0"/>
          <w:numId w:val="0"/>
        </w:numPr>
      </w:pPr>
      <w:r w:rsidRPr="00731C6B">
        <w:t>La stratégie de la CES</w:t>
      </w:r>
      <w:r>
        <w:t xml:space="preserve"> pour défendre cette proposition consiste à démontrer son impact positif sur les intérêts à long terme des entreprises de l’UE et une croissance intelligente en Europe</w:t>
      </w:r>
      <w:r w:rsidR="00FD3ADB">
        <w:t>.</w:t>
      </w:r>
      <w:r w:rsidR="00FD3ADB" w:rsidRPr="00FD3ADB">
        <w:rPr>
          <w:lang w:eastAsia="fr-BE"/>
        </w:rPr>
        <w:t xml:space="preserve"> </w:t>
      </w:r>
      <w:r w:rsidR="00FD3ADB" w:rsidRPr="00FD3ADB">
        <w:t xml:space="preserve">Notre </w:t>
      </w:r>
      <w:r w:rsidR="00B85B94">
        <w:t>but</w:t>
      </w:r>
      <w:r w:rsidR="00FD3ADB" w:rsidRPr="00FD3ADB">
        <w:t xml:space="preserve"> est </w:t>
      </w:r>
      <w:r w:rsidR="00176AF3">
        <w:t>d’insister sur</w:t>
      </w:r>
      <w:r w:rsidR="00FD3ADB" w:rsidRPr="00FD3ADB">
        <w:t xml:space="preserve"> les indicateurs montrant que les entreprises dans lesquelles les travailleurs sont représentés au conseil d’administration présentent de meilleurs résultats économiques</w:t>
      </w:r>
      <w:r w:rsidR="00FD3ADB">
        <w:t>,</w:t>
      </w:r>
      <w:r w:rsidR="00FD3ADB" w:rsidRPr="00FD3ADB">
        <w:t xml:space="preserve"> mais aussi sociaux et environnementaux</w:t>
      </w:r>
      <w:r w:rsidR="00FD3ADB">
        <w:t>,</w:t>
      </w:r>
      <w:r w:rsidR="00FD3ADB" w:rsidRPr="00FD3ADB">
        <w:t xml:space="preserve"> que les entreprises sans participation des travailleurs</w:t>
      </w:r>
      <w:r w:rsidR="00EE4FC1">
        <w:rPr>
          <w:rStyle w:val="FootnoteReference"/>
        </w:rPr>
        <w:footnoteReference w:id="2"/>
      </w:r>
      <w:r>
        <w:t>.</w:t>
      </w:r>
    </w:p>
    <w:p w:rsidR="00CB3F08" w:rsidRPr="00731C6B" w:rsidRDefault="00CB3F08" w:rsidP="00E66683">
      <w:pPr>
        <w:pStyle w:val="ListNumber"/>
        <w:numPr>
          <w:ilvl w:val="0"/>
          <w:numId w:val="0"/>
        </w:numPr>
        <w:ind w:left="360"/>
      </w:pPr>
    </w:p>
    <w:p w:rsidR="004035D9" w:rsidRDefault="00FD3ADB" w:rsidP="001A4C15">
      <w:pPr>
        <w:pStyle w:val="ListNumber"/>
        <w:numPr>
          <w:ilvl w:val="0"/>
          <w:numId w:val="0"/>
        </w:numPr>
      </w:pPr>
      <w:r>
        <w:t>Da</w:t>
      </w:r>
      <w:r w:rsidRPr="00FD3ADB">
        <w:t xml:space="preserve">vantage de démocratie sur le lieu de travail est </w:t>
      </w:r>
      <w:r>
        <w:t>ce que veulent les travailleurs</w:t>
      </w:r>
      <w:r w:rsidR="001A4C15">
        <w:t xml:space="preserve"> et la société</w:t>
      </w:r>
      <w:r>
        <w:t xml:space="preserve">. Information, consultation et représentation au conseil d’administration composent le triangle de la communication. La représentation des travailleurs est une source d’influence supplémentaire </w:t>
      </w:r>
      <w:r w:rsidR="00BB457B">
        <w:t>au cœur de la prise de décision de l’entreprise.</w:t>
      </w:r>
    </w:p>
    <w:p w:rsidR="004035D9" w:rsidRDefault="004035D9" w:rsidP="001A4C15">
      <w:pPr>
        <w:pStyle w:val="ListNumber"/>
        <w:numPr>
          <w:ilvl w:val="0"/>
          <w:numId w:val="0"/>
        </w:numPr>
      </w:pPr>
    </w:p>
    <w:p w:rsidR="002677FA" w:rsidRDefault="00BB457B" w:rsidP="001A4C15">
      <w:pPr>
        <w:pStyle w:val="ListNumber"/>
        <w:numPr>
          <w:ilvl w:val="0"/>
          <w:numId w:val="0"/>
        </w:numPr>
      </w:pPr>
      <w:r>
        <w:t xml:space="preserve">Ce peut être une source d’informations fiables et précoces ainsi qu’un outil pour un accès </w:t>
      </w:r>
      <w:r w:rsidRPr="00BB457B">
        <w:t xml:space="preserve">meilleur </w:t>
      </w:r>
      <w:r>
        <w:t>et plus rapide aux décisions de la direction.</w:t>
      </w:r>
      <w:r w:rsidR="00E80710">
        <w:t xml:space="preserve"> C</w:t>
      </w:r>
      <w:r>
        <w:t xml:space="preserve">ela signifie que la fonction de </w:t>
      </w:r>
      <w:r w:rsidR="00E80710">
        <w:t xml:space="preserve">représentation doit être </w:t>
      </w:r>
      <w:r w:rsidR="00D4315F">
        <w:t xml:space="preserve">traitée </w:t>
      </w:r>
      <w:r w:rsidR="00E80710">
        <w:t>comme un élément à part entière de la procédure globale d’information et de consultation afin de parvenir à un dialogue social sérieux sur le lieu de travail.</w:t>
      </w:r>
      <w:r w:rsidR="001A4C15">
        <w:t xml:space="preserve"> </w:t>
      </w:r>
      <w:r w:rsidR="001A4C15" w:rsidRPr="001A4C15">
        <w:t>Il est essentiel d’assurer une articulation harmonieuse entre tous les niveaux de représentation des travailleurs et des syndicats</w:t>
      </w:r>
      <w:r w:rsidR="001A4C15">
        <w:t>.</w:t>
      </w:r>
    </w:p>
    <w:p w:rsidR="00FD3ADB" w:rsidRPr="00FD3ADB" w:rsidRDefault="00FD3ADB" w:rsidP="00E66683">
      <w:pPr>
        <w:pStyle w:val="ListNumber"/>
        <w:numPr>
          <w:ilvl w:val="0"/>
          <w:numId w:val="0"/>
        </w:numPr>
        <w:ind w:left="360"/>
      </w:pPr>
    </w:p>
    <w:p w:rsidR="002677FA" w:rsidRPr="00E80710" w:rsidRDefault="00E80710" w:rsidP="001A4C15">
      <w:pPr>
        <w:pStyle w:val="ListNumber"/>
        <w:numPr>
          <w:ilvl w:val="0"/>
          <w:numId w:val="0"/>
        </w:numPr>
      </w:pPr>
      <w:r w:rsidRPr="00E80710">
        <w:t>Enfin et surtout, des règles du jeu équitables communes</w:t>
      </w:r>
      <w:r>
        <w:t xml:space="preserve"> prendraient en compte les lacunes et les incohérences de l’acquis communautaire, réduisant les abus et les détournements des normes nationales. </w:t>
      </w:r>
      <w:r w:rsidR="001A4C15">
        <w:t>Il faut</w:t>
      </w:r>
      <w:r>
        <w:t xml:space="preserve"> en effet souligner qu’une tradition de représentation dans les conseils d’administration existe dans 18 États membres et que 36% de la main-d’œuvre européenne bénéficie de la participation</w:t>
      </w:r>
      <w:r w:rsidR="00711790">
        <w:t xml:space="preserve"> à ces conseils.</w:t>
      </w:r>
    </w:p>
    <w:p w:rsidR="00CB3F08" w:rsidRPr="00E80710" w:rsidRDefault="00CB3F08" w:rsidP="00E66683"/>
    <w:p w:rsidR="002677FA" w:rsidRPr="00D20AD0" w:rsidRDefault="001A4C15" w:rsidP="00EF4FA1">
      <w:pPr>
        <w:rPr>
          <w:rStyle w:val="BOLD"/>
          <w:u w:val="single"/>
          <w:lang w:val="fr-BE"/>
        </w:rPr>
      </w:pPr>
      <w:r>
        <w:rPr>
          <w:rStyle w:val="BOLD"/>
          <w:u w:val="single"/>
          <w:lang w:val="fr-BE"/>
        </w:rPr>
        <w:t>Exigences</w:t>
      </w:r>
      <w:r w:rsidR="00D20AD0" w:rsidRPr="00D20AD0">
        <w:rPr>
          <w:rStyle w:val="BOLD"/>
          <w:u w:val="single"/>
          <w:lang w:val="fr-BE"/>
        </w:rPr>
        <w:t xml:space="preserve"> de la CES</w:t>
      </w:r>
      <w:r w:rsidR="002677FA" w:rsidRPr="00D20AD0">
        <w:rPr>
          <w:rStyle w:val="BOLD"/>
          <w:u w:val="single"/>
          <w:lang w:val="fr-BE"/>
        </w:rPr>
        <w:t xml:space="preserve"> </w:t>
      </w:r>
      <w:r>
        <w:rPr>
          <w:rStyle w:val="BOLD"/>
          <w:u w:val="single"/>
          <w:lang w:val="fr-BE"/>
        </w:rPr>
        <w:t>en matière de</w:t>
      </w:r>
      <w:r w:rsidR="00D20AD0" w:rsidRPr="00D20AD0">
        <w:rPr>
          <w:rStyle w:val="BOLD"/>
          <w:u w:val="single"/>
          <w:lang w:val="fr-BE"/>
        </w:rPr>
        <w:t xml:space="preserve"> </w:t>
      </w:r>
      <w:r w:rsidR="00D20AD0">
        <w:rPr>
          <w:rStyle w:val="BOLD"/>
          <w:u w:val="single"/>
          <w:lang w:val="fr-BE"/>
        </w:rPr>
        <w:t>d</w:t>
      </w:r>
      <w:r w:rsidR="00D20AD0" w:rsidRPr="00D20AD0">
        <w:rPr>
          <w:b/>
          <w:u w:val="single"/>
        </w:rPr>
        <w:t xml:space="preserve">roits à l’information, à la consultation et à la représentation </w:t>
      </w:r>
      <w:r w:rsidR="00D4315F">
        <w:rPr>
          <w:b/>
          <w:u w:val="single"/>
        </w:rPr>
        <w:t>dans les</w:t>
      </w:r>
      <w:r w:rsidR="00D20AD0" w:rsidRPr="00D20AD0">
        <w:rPr>
          <w:b/>
          <w:u w:val="single"/>
        </w:rPr>
        <w:t xml:space="preserve"> conseils d’administration</w:t>
      </w:r>
    </w:p>
    <w:p w:rsidR="002677FA" w:rsidRPr="00D20AD0" w:rsidRDefault="002677FA" w:rsidP="00561654"/>
    <w:p w:rsidR="002677FA" w:rsidRPr="00D20AD0" w:rsidRDefault="00D20AD0" w:rsidP="00561654">
      <w:pPr>
        <w:pStyle w:val="ListNumber"/>
        <w:numPr>
          <w:ilvl w:val="0"/>
          <w:numId w:val="0"/>
        </w:numPr>
      </w:pPr>
      <w:r w:rsidRPr="00D20AD0">
        <w:t>La d</w:t>
      </w:r>
      <w:r w:rsidR="002677FA" w:rsidRPr="00D20AD0">
        <w:t xml:space="preserve">irective </w:t>
      </w:r>
      <w:r w:rsidRPr="00D20AD0">
        <w:t>doit laisser autant d’espace que possible</w:t>
      </w:r>
      <w:r w:rsidR="002677FA" w:rsidRPr="00D20AD0">
        <w:t xml:space="preserve"> </w:t>
      </w:r>
      <w:r>
        <w:t xml:space="preserve">aux négociations au niveau de la société transnationale afin de permettre aux parties d’élaborer une procédure d’information, de consultation et de représentation qui répond au mieux à leurs besoins et traditions. </w:t>
      </w:r>
      <w:r w:rsidR="00D4315F">
        <w:t>De</w:t>
      </w:r>
      <w:r>
        <w:t xml:space="preserve"> grands principes doivent donc être imposés </w:t>
      </w:r>
      <w:r w:rsidR="00E26241">
        <w:t>en tant que</w:t>
      </w:r>
      <w:r>
        <w:t xml:space="preserve"> normes </w:t>
      </w:r>
      <w:r w:rsidR="00E26241">
        <w:t xml:space="preserve">obligatoires et d’ambitieuses prescriptions subsidiaires doivent être définies. Ces </w:t>
      </w:r>
      <w:r w:rsidR="00E26241" w:rsidRPr="00E26241">
        <w:t xml:space="preserve">prescriptions </w:t>
      </w:r>
      <w:r w:rsidR="00E26241">
        <w:t xml:space="preserve">serviraient de dispositions </w:t>
      </w:r>
      <w:r w:rsidR="005D79E7">
        <w:t>alternatives</w:t>
      </w:r>
      <w:r w:rsidR="00E26241">
        <w:t xml:space="preserve"> en l’absence d’accord ou si les parties le souhaitent.</w:t>
      </w:r>
    </w:p>
    <w:p w:rsidR="002677FA" w:rsidRPr="00D20AD0" w:rsidRDefault="002677FA" w:rsidP="00E66683">
      <w:pPr>
        <w:pStyle w:val="ListParagraph"/>
      </w:pPr>
    </w:p>
    <w:p w:rsidR="002677FA" w:rsidRPr="00E26241" w:rsidRDefault="001A4C15" w:rsidP="00561654">
      <w:pPr>
        <w:pStyle w:val="ListNumber"/>
        <w:numPr>
          <w:ilvl w:val="0"/>
          <w:numId w:val="0"/>
        </w:numPr>
      </w:pPr>
      <w:r>
        <w:t>D</w:t>
      </w:r>
      <w:r w:rsidR="00E26241" w:rsidRPr="00E26241">
        <w:t xml:space="preserve">es </w:t>
      </w:r>
      <w:r w:rsidR="00D4315F">
        <w:t>propositions</w:t>
      </w:r>
      <w:r w:rsidR="00E26241" w:rsidRPr="00E26241">
        <w:t xml:space="preserve"> concrètes </w:t>
      </w:r>
      <w:r w:rsidR="00E26241">
        <w:t>répondant aux critères suivants</w:t>
      </w:r>
      <w:r w:rsidR="00561654">
        <w:t xml:space="preserve"> sont élaborées</w:t>
      </w:r>
      <w:r w:rsidR="00E26241">
        <w:t> :</w:t>
      </w:r>
    </w:p>
    <w:p w:rsidR="002677FA" w:rsidRPr="00E26241" w:rsidRDefault="00E26241" w:rsidP="00E66683">
      <w:pPr>
        <w:pStyle w:val="Heading4"/>
      </w:pPr>
      <w:r w:rsidRPr="00E26241">
        <w:t>Droits à</w:t>
      </w:r>
      <w:r w:rsidR="002677FA" w:rsidRPr="00E26241">
        <w:t xml:space="preserve"> </w:t>
      </w:r>
      <w:r w:rsidRPr="00E26241">
        <w:t>l’</w:t>
      </w:r>
      <w:r w:rsidR="002677FA" w:rsidRPr="00E26241">
        <w:t xml:space="preserve">information </w:t>
      </w:r>
      <w:r w:rsidRPr="00E26241">
        <w:t>et à la</w:t>
      </w:r>
      <w:r w:rsidR="002677FA" w:rsidRPr="00E26241">
        <w:t xml:space="preserve"> consultation r</w:t>
      </w:r>
      <w:r w:rsidRPr="00E26241">
        <w:t>enforcé</w:t>
      </w:r>
      <w:r w:rsidR="002677FA" w:rsidRPr="00E26241">
        <w:t>s</w:t>
      </w:r>
    </w:p>
    <w:p w:rsidR="00DD3B59" w:rsidRPr="00E26241" w:rsidRDefault="00DD3B59" w:rsidP="00EF4FA1"/>
    <w:p w:rsidR="002677FA" w:rsidRPr="00E26241" w:rsidRDefault="00E26241" w:rsidP="00561654">
      <w:pPr>
        <w:pStyle w:val="ListNumber"/>
        <w:numPr>
          <w:ilvl w:val="0"/>
          <w:numId w:val="0"/>
        </w:numPr>
      </w:pPr>
      <w:r w:rsidRPr="00E26241">
        <w:t>La d</w:t>
      </w:r>
      <w:r w:rsidR="002677FA" w:rsidRPr="00E26241">
        <w:t xml:space="preserve">irective </w:t>
      </w:r>
      <w:r w:rsidRPr="00E26241">
        <w:t xml:space="preserve">doit </w:t>
      </w:r>
      <w:r w:rsidR="00C9092C">
        <w:t>renforcer</w:t>
      </w:r>
      <w:r w:rsidR="00C9092C" w:rsidRPr="00E26241">
        <w:t xml:space="preserve"> </w:t>
      </w:r>
      <w:r w:rsidR="00C9092C">
        <w:t>l</w:t>
      </w:r>
      <w:r w:rsidRPr="00E26241">
        <w:t xml:space="preserve">es normes </w:t>
      </w:r>
      <w:r w:rsidR="008D0D34">
        <w:t xml:space="preserve">minimales </w:t>
      </w:r>
      <w:r w:rsidR="00C9092C">
        <w:t xml:space="preserve">existantes </w:t>
      </w:r>
      <w:r w:rsidRPr="00E26241">
        <w:t xml:space="preserve">pour la création et le fonctionnement d’un </w:t>
      </w:r>
      <w:r>
        <w:t>comité d’entreprise</w:t>
      </w:r>
      <w:r w:rsidR="00A16291">
        <w:t xml:space="preserve"> qui </w:t>
      </w:r>
      <w:r w:rsidR="00561654">
        <w:t>fera office d</w:t>
      </w:r>
      <w:r w:rsidR="00A16291">
        <w:t>’interlocuteur de la direction concernant l’implication des travailleurs dans l’entreprise. En s’appuyant sur l’acquis existant (par ex. la refonte de la directive sur les CEE</w:t>
      </w:r>
      <w:r w:rsidR="00D4315F">
        <w:t xml:space="preserve"> ou</w:t>
      </w:r>
      <w:r w:rsidR="00A16291">
        <w:t xml:space="preserve"> la directive sur la SE), la directive doit apporter des solutions en matière de composition du comité d’entreprise</w:t>
      </w:r>
      <w:r w:rsidR="00561654">
        <w:t xml:space="preserve"> européen</w:t>
      </w:r>
      <w:r w:rsidR="00A16291">
        <w:t>, de ses compétences et de ses règles de fonctionnement</w:t>
      </w:r>
      <w:r w:rsidR="00B2409A">
        <w:t xml:space="preserve"> </w:t>
      </w:r>
      <w:r w:rsidR="008D0D34">
        <w:t>tout en</w:t>
      </w:r>
      <w:r w:rsidR="00B2409A">
        <w:t xml:space="preserve"> protége</w:t>
      </w:r>
      <w:r w:rsidR="008D0D34">
        <w:t>ant</w:t>
      </w:r>
      <w:r w:rsidR="00B2409A">
        <w:t xml:space="preserve"> les</w:t>
      </w:r>
      <w:r w:rsidR="00B2409A" w:rsidRPr="00B2409A">
        <w:rPr>
          <w:rFonts w:ascii="Helvetica" w:hAnsi="Helvetica"/>
          <w:color w:val="333333"/>
          <w:shd w:val="clear" w:color="auto" w:fill="FEFEFE"/>
        </w:rPr>
        <w:t xml:space="preserve"> </w:t>
      </w:r>
      <w:r w:rsidR="00B2409A">
        <w:rPr>
          <w:rFonts w:ascii="Helvetica" w:hAnsi="Helvetica"/>
          <w:color w:val="333333"/>
          <w:shd w:val="clear" w:color="auto" w:fill="FEFEFE"/>
        </w:rPr>
        <w:t>pratiques nationales</w:t>
      </w:r>
      <w:r w:rsidR="00552698">
        <w:rPr>
          <w:rFonts w:ascii="Helvetica" w:hAnsi="Helvetica"/>
          <w:color w:val="333333"/>
          <w:shd w:val="clear" w:color="auto" w:fill="FEFEFE"/>
        </w:rPr>
        <w:t xml:space="preserve"> et les</w:t>
      </w:r>
      <w:r w:rsidR="00B2409A">
        <w:rPr>
          <w:rFonts w:ascii="Helvetica" w:hAnsi="Helvetica"/>
          <w:color w:val="333333"/>
          <w:shd w:val="clear" w:color="auto" w:fill="FEFEFE"/>
        </w:rPr>
        <w:t xml:space="preserve"> </w:t>
      </w:r>
      <w:r w:rsidR="00552698">
        <w:rPr>
          <w:rFonts w:ascii="Helvetica" w:hAnsi="Helvetica"/>
          <w:color w:val="333333"/>
          <w:shd w:val="clear" w:color="auto" w:fill="FEFEFE"/>
        </w:rPr>
        <w:t>procédures d’information et consultation plus élaborées</w:t>
      </w:r>
      <w:r w:rsidR="00A16291">
        <w:t>.</w:t>
      </w:r>
    </w:p>
    <w:p w:rsidR="007F4311" w:rsidRDefault="007F4311">
      <w:pPr>
        <w:spacing w:line="240" w:lineRule="auto"/>
        <w:jc w:val="left"/>
        <w:rPr>
          <w:lang w:eastAsia="fr-FR"/>
        </w:rPr>
      </w:pPr>
      <w:r>
        <w:br w:type="page"/>
      </w:r>
    </w:p>
    <w:p w:rsidR="00CB3F08" w:rsidRPr="00E26241" w:rsidRDefault="00CB3F08" w:rsidP="00E66683">
      <w:pPr>
        <w:pStyle w:val="ListNumber"/>
        <w:numPr>
          <w:ilvl w:val="0"/>
          <w:numId w:val="0"/>
        </w:numPr>
        <w:ind w:left="360"/>
      </w:pPr>
    </w:p>
    <w:p w:rsidR="002677FA" w:rsidRPr="00A16291" w:rsidRDefault="00A16291" w:rsidP="00561654">
      <w:pPr>
        <w:pStyle w:val="ListNumber"/>
        <w:numPr>
          <w:ilvl w:val="0"/>
          <w:numId w:val="0"/>
        </w:numPr>
      </w:pPr>
      <w:r w:rsidRPr="00A16291">
        <w:t>L</w:t>
      </w:r>
      <w:r w:rsidR="00D4315F">
        <w:t>es</w:t>
      </w:r>
      <w:r w:rsidRPr="00A16291">
        <w:t xml:space="preserve"> compé</w:t>
      </w:r>
      <w:r w:rsidR="002677FA" w:rsidRPr="00A16291">
        <w:t>tence</w:t>
      </w:r>
      <w:r w:rsidR="00D4315F">
        <w:t>s</w:t>
      </w:r>
      <w:r w:rsidR="002677FA" w:rsidRPr="00A16291">
        <w:t xml:space="preserve"> </w:t>
      </w:r>
      <w:r w:rsidRPr="00A16291">
        <w:t>des comités d’entreprise peu</w:t>
      </w:r>
      <w:r w:rsidR="00D4315F">
        <w:t>ven</w:t>
      </w:r>
      <w:r w:rsidRPr="00A16291">
        <w:t>t être utilement étendue</w:t>
      </w:r>
      <w:r w:rsidR="00D4315F">
        <w:t>s</w:t>
      </w:r>
      <w:r w:rsidRPr="00A16291">
        <w:t xml:space="preserve"> pour inclure</w:t>
      </w:r>
      <w:r>
        <w:t xml:space="preserve"> l</w:t>
      </w:r>
      <w:r w:rsidRPr="00A16291">
        <w:t>es d</w:t>
      </w:r>
      <w:r>
        <w:t>é</w:t>
      </w:r>
      <w:r w:rsidRPr="00A16291">
        <w:t xml:space="preserve">cisions </w:t>
      </w:r>
      <w:r>
        <w:t xml:space="preserve">relatives à </w:t>
      </w:r>
      <w:r w:rsidR="00D756F3">
        <w:t xml:space="preserve">l’utilisation </w:t>
      </w:r>
      <w:r>
        <w:t>de main-d’œuvre externe (sous-traitants</w:t>
      </w:r>
      <w:r w:rsidR="00D756F3">
        <w:t>, intérimaires), à la protection des données</w:t>
      </w:r>
      <w:r w:rsidR="002677FA" w:rsidRPr="00A16291">
        <w:t xml:space="preserve">, </w:t>
      </w:r>
      <w:r w:rsidR="00D756F3">
        <w:t xml:space="preserve">aux questions environnementales, à l’introduction de nouvelles technologies, à des emprunts importants, </w:t>
      </w:r>
      <w:r w:rsidR="00D756F3" w:rsidRPr="00A16291">
        <w:t>etc.</w:t>
      </w:r>
      <w:r w:rsidR="002677FA">
        <w:rPr>
          <w:rStyle w:val="FootnoteReference"/>
        </w:rPr>
        <w:footnoteReference w:id="3"/>
      </w:r>
      <w:r w:rsidR="00D756F3">
        <w:t>.</w:t>
      </w:r>
    </w:p>
    <w:p w:rsidR="00CB3F08" w:rsidRPr="00A16291" w:rsidRDefault="00CB3F08" w:rsidP="00E66683">
      <w:pPr>
        <w:pStyle w:val="ListParagraph"/>
      </w:pPr>
    </w:p>
    <w:p w:rsidR="002677FA" w:rsidRPr="00970794" w:rsidRDefault="00970794" w:rsidP="00561654">
      <w:pPr>
        <w:pStyle w:val="ListNumber"/>
        <w:numPr>
          <w:ilvl w:val="0"/>
          <w:numId w:val="0"/>
        </w:numPr>
      </w:pPr>
      <w:r w:rsidRPr="00970794">
        <w:t xml:space="preserve">Le fonctionnement du comité d’entreprise peut </w:t>
      </w:r>
      <w:r>
        <w:t xml:space="preserve">être amélioré en réclamant plus d’une réunion par an et la création de comités spéciaux avec l’aide d’experts (par ex. un comité économique). </w:t>
      </w:r>
    </w:p>
    <w:p w:rsidR="00CB3F08" w:rsidRPr="00970794" w:rsidRDefault="00CB3F08" w:rsidP="00E66683">
      <w:pPr>
        <w:pStyle w:val="ListParagraph"/>
      </w:pPr>
    </w:p>
    <w:p w:rsidR="002677FA" w:rsidRPr="001B4F5D" w:rsidRDefault="001B4F5D" w:rsidP="00561654">
      <w:pPr>
        <w:pStyle w:val="ListNumber"/>
        <w:numPr>
          <w:ilvl w:val="0"/>
          <w:numId w:val="0"/>
        </w:numPr>
      </w:pPr>
      <w:r w:rsidRPr="001B4F5D">
        <w:t>Il y a avant tout la délicate question de la mise en œuvre.</w:t>
      </w:r>
      <w:r w:rsidR="00561654">
        <w:t xml:space="preserve"> </w:t>
      </w:r>
      <w:r w:rsidR="00CB61C8" w:rsidRPr="00CB61C8">
        <w:t>Information et consultation font partie intégrante du processus décisionnel de l’entreprise</w:t>
      </w:r>
      <w:r w:rsidR="00CB61C8">
        <w:t xml:space="preserve"> à tous les niveaux : local, national et transnational</w:t>
      </w:r>
      <w:r w:rsidR="00CB61C8" w:rsidRPr="00CB61C8">
        <w:t xml:space="preserve">. </w:t>
      </w:r>
      <w:r w:rsidR="00CB61C8">
        <w:t>Avant que l</w:t>
      </w:r>
      <w:r w:rsidR="00CB61C8" w:rsidRPr="00CB61C8">
        <w:t xml:space="preserve">a direction </w:t>
      </w:r>
      <w:r w:rsidR="00CB61C8">
        <w:t>prenne une</w:t>
      </w:r>
      <w:r w:rsidR="00CB61C8" w:rsidRPr="00CB61C8">
        <w:t xml:space="preserve"> décision définitive</w:t>
      </w:r>
      <w:r w:rsidR="00CB61C8">
        <w:t>,</w:t>
      </w:r>
      <w:r w:rsidR="00CB61C8" w:rsidRPr="00CB61C8">
        <w:t xml:space="preserve"> la procédure transnationale d’information et de consultation </w:t>
      </w:r>
      <w:r w:rsidR="00CB61C8">
        <w:t>doit avoir été</w:t>
      </w:r>
      <w:r w:rsidR="00CB61C8" w:rsidRPr="00CB61C8">
        <w:t xml:space="preserve"> correctement et complètement menée</w:t>
      </w:r>
      <w:r w:rsidR="00064C9F">
        <w:t>.</w:t>
      </w:r>
      <w:r>
        <w:t xml:space="preserve"> En même temps, on peut s’attendre à ce que l’introduction de normes en matière de représentation </w:t>
      </w:r>
      <w:r w:rsidR="0070261A">
        <w:t>dans les</w:t>
      </w:r>
      <w:r>
        <w:t xml:space="preserve"> conseil</w:t>
      </w:r>
      <w:r w:rsidR="0070261A">
        <w:t>s</w:t>
      </w:r>
      <w:r>
        <w:t xml:space="preserve"> d’administration contribue à </w:t>
      </w:r>
      <w:r w:rsidR="0070261A">
        <w:t>assurer que les comités d’entreprise reçoivent une information opportune et de qualité.</w:t>
      </w:r>
    </w:p>
    <w:p w:rsidR="002677FA" w:rsidRPr="00EE68EF" w:rsidRDefault="00EE68EF" w:rsidP="00E66683">
      <w:pPr>
        <w:pStyle w:val="Heading4"/>
      </w:pPr>
      <w:r w:rsidRPr="00EE68EF">
        <w:t xml:space="preserve">Nouvelles normes </w:t>
      </w:r>
      <w:r>
        <w:t>pour la</w:t>
      </w:r>
      <w:r w:rsidRPr="00EE68EF">
        <w:t xml:space="preserve"> </w:t>
      </w:r>
      <w:r w:rsidR="002677FA" w:rsidRPr="00EE68EF">
        <w:t>repr</w:t>
      </w:r>
      <w:r w:rsidRPr="00EE68EF">
        <w:t>é</w:t>
      </w:r>
      <w:r w:rsidR="002677FA" w:rsidRPr="00EE68EF">
        <w:t>sentation</w:t>
      </w:r>
      <w:r>
        <w:t xml:space="preserve"> des travailleurs dans les conseils d’administration</w:t>
      </w:r>
    </w:p>
    <w:p w:rsidR="00CB3F08" w:rsidRPr="00EE68EF" w:rsidRDefault="00CB3F08" w:rsidP="00EF4FA1"/>
    <w:p w:rsidR="00CB3F08" w:rsidRDefault="00EE68EF" w:rsidP="00CB61C8">
      <w:pPr>
        <w:pStyle w:val="ListNumber"/>
        <w:numPr>
          <w:ilvl w:val="0"/>
          <w:numId w:val="0"/>
        </w:numPr>
      </w:pPr>
      <w:r w:rsidRPr="00EE68EF">
        <w:t>La</w:t>
      </w:r>
      <w:r w:rsidR="002677FA" w:rsidRPr="00EE68EF">
        <w:t xml:space="preserve"> </w:t>
      </w:r>
      <w:r w:rsidRPr="00EE68EF">
        <w:t>d</w:t>
      </w:r>
      <w:r w:rsidR="002677FA" w:rsidRPr="00EE68EF">
        <w:t xml:space="preserve">irective </w:t>
      </w:r>
      <w:r w:rsidRPr="00EE68EF">
        <w:t>doit introduire l’obligation de me</w:t>
      </w:r>
      <w:r>
        <w:t>t</w:t>
      </w:r>
      <w:r w:rsidRPr="00EE68EF">
        <w:t>tre en place un système pour la représentation des travailleurs au conseil.</w:t>
      </w:r>
      <w:r>
        <w:t xml:space="preserve"> Cela peut être soit au niveau du conseil d’administration (pour les systèmes monistes – à un niveau) ou du conseil de surveillance (pour les systèmes dualistes – à deux niveaux). Cette directive n’a en effet pas vocation à réguler la structure du conseil des sociétés.</w:t>
      </w:r>
    </w:p>
    <w:p w:rsidR="00EE68EF" w:rsidRDefault="00EE68EF" w:rsidP="00E66683">
      <w:pPr>
        <w:pStyle w:val="ListNumber"/>
        <w:numPr>
          <w:ilvl w:val="0"/>
          <w:numId w:val="0"/>
        </w:numPr>
        <w:ind w:left="360"/>
      </w:pPr>
    </w:p>
    <w:p w:rsidR="00EE68EF" w:rsidRDefault="00EE68EF" w:rsidP="00CB61C8">
      <w:pPr>
        <w:pStyle w:val="ListNumber"/>
        <w:numPr>
          <w:ilvl w:val="0"/>
          <w:numId w:val="0"/>
        </w:numPr>
      </w:pPr>
      <w:r>
        <w:t xml:space="preserve">Chaque représentant des travailleurs au conseil doit être un membre à part entière avec les mêmes droits et devoirs que les représentants des actionnaires, y compris le droit de vote. Cela signifie que les représentants des travailleurs </w:t>
      </w:r>
      <w:r w:rsidR="002F0BA8">
        <w:t>reçoivent une invitation aux réunions du conseil</w:t>
      </w:r>
      <w:r w:rsidR="00B85B94">
        <w:t>,</w:t>
      </w:r>
      <w:r w:rsidR="002F0BA8">
        <w:t xml:space="preserve"> à temps et accompagnée de suffisamment de documents. Ils doivent avoir le droit de discuter et de poser des questions individuellement. Ils disposent individuellement du droit de convoquer des réunions extraordinaires et de demander qu’un point particulier soit porté à l’ordre du jour.</w:t>
      </w:r>
    </w:p>
    <w:p w:rsidR="002F0BA8" w:rsidRDefault="002F0BA8" w:rsidP="00E66683">
      <w:pPr>
        <w:pStyle w:val="ListParagraph"/>
      </w:pPr>
    </w:p>
    <w:p w:rsidR="002F0BA8" w:rsidRDefault="002F0BA8" w:rsidP="00CB61C8">
      <w:pPr>
        <w:pStyle w:val="ListNumber"/>
        <w:numPr>
          <w:ilvl w:val="0"/>
          <w:numId w:val="0"/>
        </w:numPr>
      </w:pPr>
      <w:r>
        <w:t xml:space="preserve">Tout en respectant pleinement les différentes structures des entreprises, la directive doit inclure une liste non exhaustive des points qui doivent être inscrits à </w:t>
      </w:r>
      <w:r w:rsidR="00B85B94" w:rsidRPr="00B85B94">
        <w:t>l’ordre du jour</w:t>
      </w:r>
      <w:r>
        <w:t xml:space="preserve"> du conseil. La CES devra également veiller à ce </w:t>
      </w:r>
      <w:r w:rsidR="00D0380F">
        <w:t>que suffisamment de dispositions soient incluses dans les instruments d’accompagnement du droit européen des sociétés pour obliger tous les membres du conseil à agir dans les intérêts à long terme de l’entreprise.</w:t>
      </w:r>
    </w:p>
    <w:p w:rsidR="00D0380F" w:rsidRDefault="00D0380F" w:rsidP="00E66683">
      <w:pPr>
        <w:pStyle w:val="ListParagraph"/>
      </w:pPr>
    </w:p>
    <w:p w:rsidR="00D0380F" w:rsidRDefault="00D0380F" w:rsidP="00CB61C8">
      <w:pPr>
        <w:pStyle w:val="ListNumber"/>
        <w:numPr>
          <w:ilvl w:val="0"/>
          <w:numId w:val="0"/>
        </w:numPr>
      </w:pPr>
      <w:r>
        <w:t>Les représentants des travailleurs, tant au conseil qu’au comité</w:t>
      </w:r>
      <w:r w:rsidR="00365A73">
        <w:t xml:space="preserve"> d’entreprise, doivent bénéficier d’une protection contre le licenciement et les traitements discriminatoires. Suffisamment de temps libre et de formation doivent également être assurés.</w:t>
      </w:r>
    </w:p>
    <w:p w:rsidR="00365A73" w:rsidRDefault="00365A73" w:rsidP="00E66683">
      <w:pPr>
        <w:pStyle w:val="ListParagraph"/>
      </w:pPr>
    </w:p>
    <w:p w:rsidR="00365A73" w:rsidRDefault="00365A73" w:rsidP="00CB61C8">
      <w:pPr>
        <w:pStyle w:val="ListNumber"/>
        <w:numPr>
          <w:ilvl w:val="0"/>
          <w:numId w:val="0"/>
        </w:numPr>
      </w:pPr>
      <w:r>
        <w:lastRenderedPageBreak/>
        <w:t xml:space="preserve">La confidentialité est un sujet qui doit être abordé très prudemment. Trop de sujets sont aujourd’hui qualifiés « confidentiels » par la direction. Cela se traduit par une information médiocre ou absente des comités d’entreprise. Il est dès lors impératif que la directive définisse raisonnablement ce qu’implique la notion de confidentialité. Un délicat équilibre doit être établi entre, d’une part, la nécessité de </w:t>
      </w:r>
      <w:r w:rsidR="00CB61C8">
        <w:t xml:space="preserve">respecter </w:t>
      </w:r>
      <w:r>
        <w:t>la confidentialité et, d’autre part, faire en sorte que les représentants des travailleurs soient considérés comme des partenaires dignes de confiance</w:t>
      </w:r>
      <w:r w:rsidR="00B37A6B">
        <w:t>,</w:t>
      </w:r>
      <w:r w:rsidR="00666842">
        <w:t xml:space="preserve"> faute de quoi les réunions du conseil pourraient </w:t>
      </w:r>
      <w:r w:rsidR="00161D4C">
        <w:t xml:space="preserve">bien </w:t>
      </w:r>
      <w:r w:rsidR="00666842">
        <w:t xml:space="preserve">devenir des </w:t>
      </w:r>
      <w:r w:rsidR="00161D4C">
        <w:t>non-événements</w:t>
      </w:r>
      <w:r w:rsidR="00666842">
        <w:t xml:space="preserve"> et les décisions importantes être prises en coulisse.</w:t>
      </w:r>
    </w:p>
    <w:p w:rsidR="00CB61C8" w:rsidRDefault="00CB61C8" w:rsidP="00CB61C8">
      <w:pPr>
        <w:pStyle w:val="ListNumber"/>
        <w:numPr>
          <w:ilvl w:val="0"/>
          <w:numId w:val="0"/>
        </w:numPr>
      </w:pPr>
    </w:p>
    <w:p w:rsidR="00CB61C8" w:rsidRDefault="00CB61C8" w:rsidP="00CB61C8">
      <w:pPr>
        <w:pStyle w:val="ListNumber"/>
        <w:numPr>
          <w:ilvl w:val="0"/>
          <w:numId w:val="0"/>
        </w:numPr>
      </w:pPr>
      <w:r w:rsidRPr="00CB61C8">
        <w:t>Les règles de confidentialité doivent permettre la circulation d’information nécessaire dans le respect des obligations en la matière. Les mêmes règles de confidentialité s’appliquent de la même façon aux représentants des travailleurs dans les conseils d’administration et aux représentants des actionnaires. Il ne peut y avoir aucune disposition particulière visant à limiter la confidentialité qui s’applique uniquement aux représentants des travailleurs. Les représentants des travailleurs dans les conseils d’administration doivent avoir le droit de communiquer régulièrement avec les organes nationaux et européens de représentation des travailleurs.</w:t>
      </w:r>
    </w:p>
    <w:p w:rsidR="00CB61C8" w:rsidRDefault="00CB61C8" w:rsidP="00CB61C8">
      <w:pPr>
        <w:pStyle w:val="ListNumber"/>
        <w:numPr>
          <w:ilvl w:val="0"/>
          <w:numId w:val="0"/>
        </w:numPr>
      </w:pPr>
    </w:p>
    <w:p w:rsidR="00CB61C8" w:rsidRDefault="00526B35" w:rsidP="00CB61C8">
      <w:pPr>
        <w:pStyle w:val="ListNumber"/>
        <w:numPr>
          <w:ilvl w:val="0"/>
          <w:numId w:val="0"/>
        </w:numPr>
      </w:pPr>
      <w:r w:rsidRPr="00526B35">
        <w:t>Il existe différentes méthodes et traditions pour élire ou désigner les représentants des travailleurs dans les conseils d’administration. Indépendamment de la méthode utilisée, celle-ci doit veiller à ce que les représentants disposent d’un mandat vraiment européen en faisant en sorte que les procédures de sélection et de désignation couvrent l’entièreté du personnel européen. Elle doit en outre inclure une prérogative réservée aux organisations syndicales soutenues par les FSE et exclure tout rôle de la direction dans la sélection des représentants des travailleurs dans les conseils d’administration.</w:t>
      </w:r>
      <w:r>
        <w:t xml:space="preserve"> Le mandat des </w:t>
      </w:r>
      <w:r w:rsidRPr="00526B35">
        <w:t>représentants des travailleurs dans les conseils d’administration</w:t>
      </w:r>
      <w:r>
        <w:t xml:space="preserve"> porte sur la défense des intérêts à long terme de l’entreprise dans son ensemble, y compris les intérêts du personnel.</w:t>
      </w:r>
    </w:p>
    <w:p w:rsidR="00666842" w:rsidRDefault="00666842" w:rsidP="00E66683">
      <w:pPr>
        <w:pStyle w:val="ListParagraph"/>
      </w:pPr>
    </w:p>
    <w:p w:rsidR="00356465" w:rsidRDefault="00B10AD4" w:rsidP="00526B35">
      <w:pPr>
        <w:pStyle w:val="ListNumber"/>
        <w:numPr>
          <w:ilvl w:val="0"/>
          <w:numId w:val="0"/>
        </w:numPr>
        <w:rPr>
          <w:color w:val="000000"/>
        </w:rPr>
      </w:pPr>
      <w:r w:rsidRPr="00B10AD4">
        <w:rPr>
          <w:color w:val="000000"/>
        </w:rPr>
        <w:t>La CES</w:t>
      </w:r>
      <w:r w:rsidR="002677FA" w:rsidRPr="00B10AD4">
        <w:rPr>
          <w:color w:val="000000"/>
        </w:rPr>
        <w:t xml:space="preserve"> propose </w:t>
      </w:r>
      <w:r w:rsidRPr="00B10AD4">
        <w:rPr>
          <w:color w:val="000000"/>
        </w:rPr>
        <w:t xml:space="preserve">une approche </w:t>
      </w:r>
      <w:r w:rsidR="004271DB">
        <w:rPr>
          <w:color w:val="000000"/>
        </w:rPr>
        <w:t>en forme d’escalier</w:t>
      </w:r>
      <w:r w:rsidRPr="00B10AD4">
        <w:rPr>
          <w:color w:val="000000"/>
        </w:rPr>
        <w:t xml:space="preserve"> commençant par un niveau de représentation des travailleurs plus </w:t>
      </w:r>
      <w:r w:rsidR="002D36F9">
        <w:rPr>
          <w:color w:val="000000"/>
        </w:rPr>
        <w:t>bas</w:t>
      </w:r>
      <w:r w:rsidRPr="00B10AD4">
        <w:rPr>
          <w:color w:val="000000"/>
        </w:rPr>
        <w:t xml:space="preserve"> dans </w:t>
      </w:r>
      <w:r>
        <w:rPr>
          <w:color w:val="000000"/>
        </w:rPr>
        <w:t>une</w:t>
      </w:r>
      <w:r w:rsidRPr="00B10AD4">
        <w:rPr>
          <w:color w:val="000000"/>
        </w:rPr>
        <w:t xml:space="preserve"> petite entreprise </w:t>
      </w:r>
      <w:r w:rsidR="009A2969">
        <w:rPr>
          <w:color w:val="000000"/>
        </w:rPr>
        <w:t xml:space="preserve">pour ensuite </w:t>
      </w:r>
      <w:r w:rsidRPr="00B10AD4">
        <w:rPr>
          <w:color w:val="000000"/>
        </w:rPr>
        <w:t>augment</w:t>
      </w:r>
      <w:r w:rsidR="009A2969">
        <w:rPr>
          <w:color w:val="000000"/>
        </w:rPr>
        <w:t>er</w:t>
      </w:r>
      <w:r w:rsidRPr="00B10AD4">
        <w:rPr>
          <w:color w:val="000000"/>
        </w:rPr>
        <w:t xml:space="preserve"> graduellement en fonction de la taille de l’entreprise (tant </w:t>
      </w:r>
      <w:r w:rsidR="002D36F9">
        <w:rPr>
          <w:color w:val="000000"/>
        </w:rPr>
        <w:t xml:space="preserve">dans </w:t>
      </w:r>
      <w:r>
        <w:rPr>
          <w:color w:val="000000"/>
        </w:rPr>
        <w:t>un</w:t>
      </w:r>
      <w:r w:rsidRPr="00B10AD4">
        <w:rPr>
          <w:color w:val="000000"/>
        </w:rPr>
        <w:t xml:space="preserve"> système moniste que </w:t>
      </w:r>
      <w:r>
        <w:rPr>
          <w:color w:val="000000"/>
        </w:rPr>
        <w:t xml:space="preserve">dans un système </w:t>
      </w:r>
      <w:r w:rsidRPr="00B10AD4">
        <w:rPr>
          <w:color w:val="000000"/>
        </w:rPr>
        <w:t>dualiste</w:t>
      </w:r>
      <w:r>
        <w:rPr>
          <w:color w:val="000000"/>
        </w:rPr>
        <w:t>) :</w:t>
      </w:r>
    </w:p>
    <w:p w:rsidR="00526B35" w:rsidRPr="00B10AD4" w:rsidRDefault="00526B35" w:rsidP="00526B35">
      <w:pPr>
        <w:pStyle w:val="ListNumber"/>
        <w:numPr>
          <w:ilvl w:val="0"/>
          <w:numId w:val="0"/>
        </w:numPr>
        <w:rPr>
          <w:color w:val="000000"/>
        </w:rPr>
      </w:pPr>
    </w:p>
    <w:p w:rsidR="00356465" w:rsidRPr="00B10AD4" w:rsidRDefault="007461C6" w:rsidP="00526B35">
      <w:pPr>
        <w:pStyle w:val="ListBullet3"/>
        <w:numPr>
          <w:ilvl w:val="0"/>
          <w:numId w:val="29"/>
        </w:numPr>
        <w:ind w:left="709" w:hanging="425"/>
        <w:rPr>
          <w:rStyle w:val="s1"/>
          <w:rFonts w:ascii="Arial" w:hAnsi="Arial"/>
          <w:color w:val="000000"/>
        </w:rPr>
      </w:pPr>
      <w:proofErr w:type="gramStart"/>
      <w:r>
        <w:rPr>
          <w:rStyle w:val="s1"/>
          <w:rFonts w:ascii="Arial" w:hAnsi="Arial"/>
          <w:color w:val="000000"/>
        </w:rPr>
        <w:t>l</w:t>
      </w:r>
      <w:r w:rsidR="00B10AD4" w:rsidRPr="00B10AD4">
        <w:rPr>
          <w:rStyle w:val="s1"/>
          <w:rFonts w:ascii="Arial" w:hAnsi="Arial"/>
          <w:color w:val="000000"/>
        </w:rPr>
        <w:t>es</w:t>
      </w:r>
      <w:proofErr w:type="gramEnd"/>
      <w:r w:rsidR="00B10AD4" w:rsidRPr="00B10AD4">
        <w:rPr>
          <w:rStyle w:val="s1"/>
          <w:rFonts w:ascii="Arial" w:hAnsi="Arial"/>
          <w:color w:val="000000"/>
        </w:rPr>
        <w:t xml:space="preserve"> petites entreprises de 50 à 250 employés (</w:t>
      </w:r>
      <w:r>
        <w:rPr>
          <w:rStyle w:val="s1"/>
          <w:rFonts w:ascii="Arial" w:hAnsi="Arial"/>
          <w:color w:val="000000"/>
        </w:rPr>
        <w:t>au sein de l’entreprise et de ses filiales directes et indirectes) auraient un bas niveau de représentation des travailleurs au conseil (2 ou 3 représentants) ;</w:t>
      </w:r>
    </w:p>
    <w:p w:rsidR="00356465" w:rsidRPr="007461C6" w:rsidRDefault="007461C6" w:rsidP="00526B35">
      <w:pPr>
        <w:pStyle w:val="ListBullet3"/>
        <w:numPr>
          <w:ilvl w:val="0"/>
          <w:numId w:val="29"/>
        </w:numPr>
        <w:ind w:left="709" w:hanging="425"/>
        <w:rPr>
          <w:rStyle w:val="s1"/>
          <w:rFonts w:ascii="Arial" w:hAnsi="Arial"/>
          <w:color w:val="000000"/>
        </w:rPr>
      </w:pPr>
      <w:proofErr w:type="gramStart"/>
      <w:r>
        <w:rPr>
          <w:rStyle w:val="s1"/>
          <w:rFonts w:ascii="Arial" w:hAnsi="Arial"/>
          <w:color w:val="000000"/>
        </w:rPr>
        <w:t>dans</w:t>
      </w:r>
      <w:proofErr w:type="gramEnd"/>
      <w:r>
        <w:rPr>
          <w:rStyle w:val="s1"/>
          <w:rFonts w:ascii="Arial" w:hAnsi="Arial"/>
          <w:color w:val="000000"/>
        </w:rPr>
        <w:t xml:space="preserve"> </w:t>
      </w:r>
      <w:r w:rsidRPr="007461C6">
        <w:rPr>
          <w:rStyle w:val="s1"/>
          <w:rFonts w:ascii="Arial" w:hAnsi="Arial"/>
          <w:color w:val="000000"/>
        </w:rPr>
        <w:t>les entreprises de</w:t>
      </w:r>
      <w:r w:rsidR="002677FA" w:rsidRPr="007461C6">
        <w:rPr>
          <w:rStyle w:val="s1"/>
          <w:rFonts w:ascii="Arial" w:hAnsi="Arial"/>
          <w:color w:val="000000"/>
        </w:rPr>
        <w:t xml:space="preserve"> 250 </w:t>
      </w:r>
      <w:r w:rsidRPr="007461C6">
        <w:rPr>
          <w:rStyle w:val="s1"/>
          <w:rFonts w:ascii="Arial" w:hAnsi="Arial"/>
          <w:color w:val="000000"/>
        </w:rPr>
        <w:t>à</w:t>
      </w:r>
      <w:r w:rsidR="002677FA" w:rsidRPr="007461C6">
        <w:rPr>
          <w:rStyle w:val="s1"/>
          <w:rFonts w:ascii="Arial" w:hAnsi="Arial"/>
          <w:color w:val="000000"/>
        </w:rPr>
        <w:t xml:space="preserve"> 1000 employ</w:t>
      </w:r>
      <w:r w:rsidRPr="007461C6">
        <w:rPr>
          <w:rStyle w:val="s1"/>
          <w:rFonts w:ascii="Arial" w:hAnsi="Arial"/>
          <w:color w:val="000000"/>
        </w:rPr>
        <w:t xml:space="preserve">és </w:t>
      </w:r>
      <w:r>
        <w:rPr>
          <w:rStyle w:val="s1"/>
          <w:rFonts w:ascii="Arial" w:hAnsi="Arial"/>
          <w:color w:val="000000"/>
        </w:rPr>
        <w:t>(</w:t>
      </w:r>
      <w:r w:rsidRPr="007461C6">
        <w:rPr>
          <w:color w:val="000000"/>
        </w:rPr>
        <w:t>au sein de l’entreprise et de ses filiales directes et indirectes)</w:t>
      </w:r>
      <w:r>
        <w:rPr>
          <w:color w:val="000000"/>
        </w:rPr>
        <w:t>, les représentants des travailleurs devraient compter pour un tiers des membres du conseil ;</w:t>
      </w:r>
    </w:p>
    <w:p w:rsidR="002677FA" w:rsidRPr="007461C6" w:rsidRDefault="007461C6" w:rsidP="00526B35">
      <w:pPr>
        <w:pStyle w:val="ListBullet3"/>
        <w:numPr>
          <w:ilvl w:val="0"/>
          <w:numId w:val="29"/>
        </w:numPr>
        <w:ind w:left="709" w:hanging="425"/>
        <w:rPr>
          <w:color w:val="000000"/>
        </w:rPr>
      </w:pPr>
      <w:proofErr w:type="gramStart"/>
      <w:r>
        <w:rPr>
          <w:rStyle w:val="s1"/>
          <w:rFonts w:ascii="Arial" w:hAnsi="Arial"/>
          <w:color w:val="000000"/>
        </w:rPr>
        <w:t>dans</w:t>
      </w:r>
      <w:proofErr w:type="gramEnd"/>
      <w:r>
        <w:rPr>
          <w:rStyle w:val="s1"/>
          <w:rFonts w:ascii="Arial" w:hAnsi="Arial"/>
          <w:color w:val="000000"/>
        </w:rPr>
        <w:t xml:space="preserve"> </w:t>
      </w:r>
      <w:r w:rsidRPr="007461C6">
        <w:rPr>
          <w:rStyle w:val="s1"/>
          <w:rFonts w:ascii="Arial" w:hAnsi="Arial"/>
          <w:color w:val="000000"/>
        </w:rPr>
        <w:t xml:space="preserve">les grandes entreprises de plus de 1000 employés </w:t>
      </w:r>
      <w:r w:rsidRPr="007461C6">
        <w:rPr>
          <w:color w:val="000000"/>
        </w:rPr>
        <w:t>(au sein de l’entreprise et de ses filiales directes et indirectes)</w:t>
      </w:r>
      <w:r>
        <w:rPr>
          <w:color w:val="000000"/>
        </w:rPr>
        <w:t>, la parité (la moitié des sièges) devrait être assurée</w:t>
      </w:r>
      <w:r w:rsidR="002677FA" w:rsidRPr="007461C6">
        <w:rPr>
          <w:rStyle w:val="s1"/>
          <w:rFonts w:ascii="Arial" w:hAnsi="Arial"/>
          <w:color w:val="000000"/>
        </w:rPr>
        <w:t>.</w:t>
      </w:r>
    </w:p>
    <w:p w:rsidR="002677FA" w:rsidRPr="007461C6" w:rsidRDefault="002677FA" w:rsidP="00E66683">
      <w:pPr>
        <w:pStyle w:val="ListParagraph"/>
        <w:ind w:left="1080"/>
      </w:pPr>
    </w:p>
    <w:p w:rsidR="00364F8A" w:rsidRDefault="007461C6" w:rsidP="00526B35">
      <w:pPr>
        <w:pStyle w:val="ListNumber"/>
        <w:numPr>
          <w:ilvl w:val="0"/>
          <w:numId w:val="0"/>
        </w:numPr>
      </w:pPr>
      <w:r w:rsidRPr="005D5E33">
        <w:t>La</w:t>
      </w:r>
      <w:r w:rsidR="002677FA" w:rsidRPr="005D5E33">
        <w:t xml:space="preserve"> </w:t>
      </w:r>
      <w:r w:rsidRPr="005D5E33">
        <w:t>d</w:t>
      </w:r>
      <w:r w:rsidR="002677FA" w:rsidRPr="005D5E33">
        <w:t xml:space="preserve">irective </w:t>
      </w:r>
      <w:r w:rsidRPr="005D5E33">
        <w:t xml:space="preserve">ne doit pas </w:t>
      </w:r>
      <w:r w:rsidR="005D5E33" w:rsidRPr="005D5E33">
        <w:t>conduire</w:t>
      </w:r>
      <w:r w:rsidRPr="005D5E33">
        <w:t xml:space="preserve"> à une situation </w:t>
      </w:r>
      <w:r w:rsidR="002D36F9">
        <w:t>où</w:t>
      </w:r>
      <w:r w:rsidR="005D5E33">
        <w:t xml:space="preserve"> les représentants des travailleurs au conseil d’administration n’ont pas de comité d’entreprise auquel faire rapport. Il faut par conséquent s’assurer de la cohérence entre, d’une part, les règles fixant le nombre de représentants des travailleurs et, d’autre part, les seuils régissant la création d’un comité d’entreprise. Les seuils prévus dans la refonte de la directive ne peuvent pas servir de référence.</w:t>
      </w:r>
    </w:p>
    <w:p w:rsidR="00364F8A" w:rsidRDefault="00364F8A" w:rsidP="00526B35">
      <w:pPr>
        <w:pStyle w:val="ListNumber"/>
        <w:numPr>
          <w:ilvl w:val="0"/>
          <w:numId w:val="0"/>
        </w:numPr>
      </w:pPr>
    </w:p>
    <w:p w:rsidR="00A67653" w:rsidRDefault="00CE0F3D" w:rsidP="00526B35">
      <w:pPr>
        <w:pStyle w:val="ListNumber"/>
        <w:numPr>
          <w:ilvl w:val="0"/>
          <w:numId w:val="0"/>
        </w:numPr>
      </w:pPr>
      <w:r>
        <w:t xml:space="preserve">La CES pense qu’égalité hommes-femmes et mixité dans la salle du conseil des entreprises forment un principe démocratique essentiel ayant un impact économique positif. Le principe de l’égalité hommes-femmes doit toutefois rester distinct de celui de la diversité : les femmes ne </w:t>
      </w:r>
      <w:r w:rsidRPr="00A72BFA">
        <w:t>constituent</w:t>
      </w:r>
      <w:r>
        <w:t xml:space="preserve"> ni un groupe ni une minorité mais une des deux sortes d’être humain qui représente plus de la moitié de la population mondiale sans parler des 45% de la main-d’œuvre européenne.</w:t>
      </w:r>
    </w:p>
    <w:p w:rsidR="00A67653" w:rsidRDefault="00A67653" w:rsidP="00526B35">
      <w:pPr>
        <w:pStyle w:val="ListNumber"/>
        <w:numPr>
          <w:ilvl w:val="0"/>
          <w:numId w:val="0"/>
        </w:numPr>
      </w:pPr>
    </w:p>
    <w:p w:rsidR="00CE0F3D" w:rsidRDefault="00CE0F3D" w:rsidP="00526B35">
      <w:pPr>
        <w:pStyle w:val="ListNumber"/>
        <w:numPr>
          <w:ilvl w:val="0"/>
          <w:numId w:val="0"/>
        </w:numPr>
      </w:pPr>
      <w:r>
        <w:t xml:space="preserve">La participation équilibrée des femmes et des hommes dans les organes de décision n’est dès lors pas seulement une question de mixité mais un impératif essentiel des principes fondamentaux de démocratie et de droits de l’homme tels que consacrés par les Traités de l’UE et la Charte des droits fondamentaux. Chaque genre devrait être représenté </w:t>
      </w:r>
      <w:r w:rsidRPr="003C4FDC">
        <w:t xml:space="preserve">dans les structures décisionnelles </w:t>
      </w:r>
      <w:r>
        <w:t>à un niveau se situant entre 40% et 60%. Ce principe devrait s’appliquer aussi bien aux sociétés cotées en bourse qu’aux sociétés non cotées et aussi bien aux membres exécutifs qu’aux membres non exécutifs des conseils d’administration et de supervision.</w:t>
      </w:r>
    </w:p>
    <w:p w:rsidR="002677FA" w:rsidRDefault="002677FA" w:rsidP="00E66683"/>
    <w:p w:rsidR="004563C4" w:rsidRDefault="004563C4" w:rsidP="00A67653">
      <w:pPr>
        <w:pStyle w:val="ListNumber"/>
        <w:numPr>
          <w:ilvl w:val="0"/>
          <w:numId w:val="0"/>
        </w:numPr>
        <w:rPr>
          <w:rFonts w:eastAsia="MS Gothic"/>
          <w:bCs/>
          <w:lang w:eastAsia="fr-BE"/>
        </w:rPr>
      </w:pPr>
    </w:p>
    <w:p w:rsidR="00A67653" w:rsidRPr="00A67653" w:rsidRDefault="00A67653" w:rsidP="00A67653">
      <w:pPr>
        <w:pStyle w:val="ListNumber"/>
        <w:numPr>
          <w:ilvl w:val="0"/>
          <w:numId w:val="0"/>
        </w:numPr>
        <w:jc w:val="center"/>
      </w:pPr>
      <w:r>
        <w:t>***</w:t>
      </w:r>
    </w:p>
    <w:sectPr w:rsidR="00A67653" w:rsidRPr="00A67653" w:rsidSect="006D3771">
      <w:footerReference w:type="even" r:id="rId8"/>
      <w:footerReference w:type="default" r:id="rId9"/>
      <w:headerReference w:type="first" r:id="rId10"/>
      <w:footerReference w:type="first" r:id="rId11"/>
      <w:pgSz w:w="11907" w:h="16839" w:code="9"/>
      <w:pgMar w:top="1418" w:right="1134" w:bottom="1588" w:left="2268" w:header="709" w:footer="709"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15E" w:rsidRDefault="00DD715E">
      <w:r>
        <w:separator/>
      </w:r>
    </w:p>
  </w:endnote>
  <w:endnote w:type="continuationSeparator" w:id="0">
    <w:p w:rsidR="00DD715E" w:rsidRDefault="00DD7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icrosoft Sans Serif">
    <w:panose1 w:val="020B060402020202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SFUIText-Regular">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6F9" w:rsidRDefault="002D36F9" w:rsidP="00BD30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D36F9" w:rsidRDefault="002D36F9" w:rsidP="00BD30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6F9" w:rsidRDefault="002D36F9" w:rsidP="00BD30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F4311">
      <w:rPr>
        <w:rStyle w:val="PageNumber"/>
        <w:noProof/>
      </w:rPr>
      <w:t>5</w:t>
    </w:r>
    <w:r>
      <w:rPr>
        <w:rStyle w:val="PageNumber"/>
      </w:rPr>
      <w:fldChar w:fldCharType="end"/>
    </w:r>
  </w:p>
  <w:p w:rsidR="002D36F9" w:rsidRDefault="002D36F9" w:rsidP="00364F8A">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6F9" w:rsidRPr="00CD73CE" w:rsidRDefault="002D36F9" w:rsidP="00CD73CE">
    <w:pPr>
      <w:widowControl w:val="0"/>
      <w:jc w:val="left"/>
      <w:rPr>
        <w:rFonts w:cs="Arial"/>
      </w:rPr>
    </w:pPr>
    <w:r>
      <w:rPr>
        <w:noProof/>
        <w:lang w:val="en-GB" w:eastAsia="en-GB"/>
      </w:rPr>
      <mc:AlternateContent>
        <mc:Choice Requires="wps">
          <w:drawing>
            <wp:anchor distT="0" distB="0" distL="114300" distR="114300" simplePos="0" relativeHeight="251656704" behindDoc="0" locked="0" layoutInCell="1" allowOverlap="1" wp14:anchorId="4F4B2208" wp14:editId="10655F7B">
              <wp:simplePos x="0" y="0"/>
              <wp:positionH relativeFrom="column">
                <wp:posOffset>-636905</wp:posOffset>
              </wp:positionH>
              <wp:positionV relativeFrom="page">
                <wp:posOffset>10034270</wp:posOffset>
              </wp:positionV>
              <wp:extent cx="6224270" cy="241300"/>
              <wp:effectExtent l="0" t="0" r="5080" b="6350"/>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427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36F9" w:rsidRPr="003D428B" w:rsidRDefault="003D428B" w:rsidP="00340983">
                          <w:pPr>
                            <w:pStyle w:val="Footer"/>
                            <w:tabs>
                              <w:tab w:val="left" w:pos="4962"/>
                            </w:tabs>
                            <w:jc w:val="center"/>
                          </w:pPr>
                          <w:r w:rsidRPr="003D428B">
                            <w:t xml:space="preserve">Confédération européenne des </w:t>
                          </w:r>
                          <w:proofErr w:type="gramStart"/>
                          <w:r w:rsidRPr="003D428B">
                            <w:t>syndicats</w:t>
                          </w:r>
                          <w:r w:rsidR="002D36F9" w:rsidRPr="003D428B">
                            <w:t xml:space="preserve">  |</w:t>
                          </w:r>
                          <w:proofErr w:type="gramEnd"/>
                          <w:r w:rsidR="002D36F9" w:rsidRPr="003D428B">
                            <w:t xml:space="preserve">  Luca Visentini, </w:t>
                          </w:r>
                          <w:r w:rsidRPr="003D428B">
                            <w:t>Secrétaire</w:t>
                          </w:r>
                          <w:r>
                            <w:t xml:space="preserve"> général</w:t>
                          </w:r>
                          <w:r w:rsidR="002D36F9" w:rsidRPr="003D428B">
                            <w:t xml:space="preserve"> |  </w:t>
                          </w:r>
                          <w:proofErr w:type="spellStart"/>
                          <w:r w:rsidR="002D36F9" w:rsidRPr="003D428B">
                            <w:t>Bld</w:t>
                          </w:r>
                          <w:proofErr w:type="spellEnd"/>
                          <w:r w:rsidR="002D36F9" w:rsidRPr="003D428B">
                            <w:t xml:space="preserve"> du Roi Albert II, 5, B - 1210 Brussels  |  +32 (0)2 224 04 11  |  etuc@etuc.org  |  www.etuc.org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4B2208" id="_x0000_t202" coordsize="21600,21600" o:spt="202" path="m,l,21600r21600,l21600,xe">
              <v:stroke joinstyle="miter"/>
              <v:path gradientshapeok="t" o:connecttype="rect"/>
            </v:shapetype>
            <v:shape id="Text Box 6" o:spid="_x0000_s1026" type="#_x0000_t202" style="position:absolute;margin-left:-50.15pt;margin-top:790.1pt;width:490.1pt;height:1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" filled="f" stroked="f">
              <v:textbox inset="0,0,0,0">
                <w:txbxContent>
                  <w:p w:rsidR="002D36F9" w:rsidRPr="003D428B" w:rsidRDefault="003D428B" w:rsidP="00340983">
                    <w:pPr>
                      <w:pStyle w:val="Footer"/>
                      <w:tabs>
                        <w:tab w:val="left" w:pos="4962"/>
                      </w:tabs>
                      <w:jc w:val="center"/>
                    </w:pPr>
                    <w:r w:rsidRPr="003D428B">
                      <w:t>Confédération européenne des syndicats</w:t>
                    </w:r>
                    <w:r w:rsidR="002D36F9" w:rsidRPr="003D428B">
                      <w:t xml:space="preserve">  |  Luca Visentini, </w:t>
                    </w:r>
                    <w:r w:rsidRPr="003D428B">
                      <w:t>Secrétaire</w:t>
                    </w:r>
                    <w:r>
                      <w:t xml:space="preserve"> général</w:t>
                    </w:r>
                    <w:r w:rsidR="002D36F9" w:rsidRPr="003D428B">
                      <w:t xml:space="preserve"> |  Bld du Roi Albert II, 5, B - 1210 Brussels  |  +32 (0)2 224 04 11  |  etuc@etuc.org  |  www.etuc.org</w:t>
                    </w:r>
                  </w:p>
                </w:txbxContent>
              </v:textbox>
              <w10:wrap type="squar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15E" w:rsidRDefault="00DD715E">
      <w:r>
        <w:separator/>
      </w:r>
    </w:p>
  </w:footnote>
  <w:footnote w:type="continuationSeparator" w:id="0">
    <w:p w:rsidR="00DD715E" w:rsidRDefault="00DD715E">
      <w:r>
        <w:continuationSeparator/>
      </w:r>
    </w:p>
  </w:footnote>
  <w:footnote w:id="1">
    <w:p w:rsidR="00E66683" w:rsidRDefault="00E66683">
      <w:pPr>
        <w:pStyle w:val="FootnoteText"/>
      </w:pPr>
      <w:r w:rsidRPr="00EF4FA1">
        <w:rPr>
          <w:rStyle w:val="FootnoteReference"/>
        </w:rPr>
        <w:footnoteRef/>
      </w:r>
      <w:r w:rsidRPr="00EF4FA1">
        <w:t xml:space="preserve"> </w:t>
      </w:r>
      <w:hyperlink r:id="rId1" w:history="1">
        <w:r w:rsidR="00EF4FA1" w:rsidRPr="00E8504E">
          <w:rPr>
            <w:rStyle w:val="Hyperlink"/>
          </w:rPr>
          <w:t>https://www.etuc.org/fr/documents/vers-un-nouveau-cadre-pour-une-plus-grande-d%C3%A9mocratie-au-travail#.V2KjNL5SFMg</w:t>
        </w:r>
      </w:hyperlink>
    </w:p>
  </w:footnote>
  <w:footnote w:id="2">
    <w:p w:rsidR="005D79E7" w:rsidRPr="00731C6B" w:rsidRDefault="002D36F9">
      <w:pPr>
        <w:pStyle w:val="FootnoteText"/>
      </w:pPr>
      <w:r>
        <w:rPr>
          <w:rStyle w:val="FootnoteReference"/>
        </w:rPr>
        <w:footnoteRef/>
      </w:r>
      <w:r w:rsidRPr="00731C6B">
        <w:t xml:space="preserve"> Voir par exemple </w:t>
      </w:r>
      <w:proofErr w:type="gramStart"/>
      <w:r w:rsidRPr="00731C6B">
        <w:t>la  publication</w:t>
      </w:r>
      <w:proofErr w:type="gramEnd"/>
      <w:r w:rsidRPr="00731C6B">
        <w:t xml:space="preserve"> </w:t>
      </w:r>
      <w:r>
        <w:t xml:space="preserve">de l’ETUI </w:t>
      </w:r>
      <w:r w:rsidR="00A339F2" w:rsidRPr="00A339F2">
        <w:t>“</w:t>
      </w:r>
      <w:proofErr w:type="spellStart"/>
      <w:r w:rsidRPr="005D79E7">
        <w:t>Benchmarking</w:t>
      </w:r>
      <w:proofErr w:type="spellEnd"/>
      <w:r w:rsidRPr="00A339F2">
        <w:t xml:space="preserve"> Social Europe 2016</w:t>
      </w:r>
      <w:r w:rsidR="00A339F2" w:rsidRPr="00A339F2">
        <w:t>”</w:t>
      </w:r>
      <w:r w:rsidRPr="00731C6B">
        <w:t xml:space="preserve"> p.69: </w:t>
      </w:r>
      <w:hyperlink r:id="rId2" w:history="1">
        <w:r w:rsidRPr="00731C6B">
          <w:rPr>
            <w:rStyle w:val="Hyperlink"/>
          </w:rPr>
          <w:t>http://www.etui.org/Publications2/Books/Benchmarking-Working-Europe-2016</w:t>
        </w:r>
      </w:hyperlink>
    </w:p>
  </w:footnote>
  <w:footnote w:id="3">
    <w:p w:rsidR="002D36F9" w:rsidRDefault="002D36F9" w:rsidP="00C2072A">
      <w:pPr>
        <w:pStyle w:val="Footnote"/>
        <w:jc w:val="both"/>
        <w:rPr>
          <w:rFonts w:asciiTheme="minorHAnsi" w:eastAsiaTheme="minorHAnsi" w:hAnsiTheme="minorHAnsi" w:cstheme="minorBidi"/>
          <w:lang w:eastAsia="en-US"/>
        </w:rPr>
      </w:pPr>
      <w:r>
        <w:rPr>
          <w:rStyle w:val="FootnoteReference"/>
        </w:rPr>
        <w:footnoteRef/>
      </w:r>
      <w:r w:rsidRPr="00D756F3">
        <w:t xml:space="preserve"> </w:t>
      </w:r>
      <w:r>
        <w:t>A titre d’</w:t>
      </w:r>
      <w:r w:rsidRPr="00D756F3">
        <w:t>illustr</w:t>
      </w:r>
      <w:r>
        <w:t>ation de</w:t>
      </w:r>
      <w:r w:rsidRPr="00D756F3">
        <w:t xml:space="preserve"> l’acquis actuel, la refonte de la directive CEE</w:t>
      </w:r>
      <w:r>
        <w:t xml:space="preserve"> stipule que :</w:t>
      </w:r>
    </w:p>
    <w:p w:rsidR="002D36F9" w:rsidRPr="0070261A" w:rsidRDefault="002D36F9" w:rsidP="00C2072A">
      <w:pPr>
        <w:pStyle w:val="Footnote"/>
        <w:jc w:val="both"/>
      </w:pPr>
      <w:r w:rsidRPr="0070261A">
        <w:t>L’information du comité d’entreprise européen porte notamment sur la structure, la situation économique et financière, l’évolution probable des activités, la production et les ventes de l’entreprise ou du groupe d’entreprises de dimension communautaire. L’information et la consultation du comité d’entreprise européen portent notamment sur la situation et l’évolution probable de l’emploi, les investissements, les changements substantiels concernant l’organisation, l’introduction de nouvelles méthodes de travail ou de nouveaux procédés de production, les transferts de production, les fusions, la réduction de la taille ou la fermeture d’entreprises, d’établissements ou de parties importantes de ceux-ci et les licenciements collectifs.</w:t>
      </w:r>
    </w:p>
    <w:p w:rsidR="002D36F9" w:rsidRPr="00397617" w:rsidRDefault="002D36F9" w:rsidP="00D756F3">
      <w:pPr>
        <w:pStyle w:val="Footnote"/>
        <w:jc w:val="both"/>
      </w:pPr>
      <w:r w:rsidRPr="0070261A">
        <w:t>La consultation s’effectue de façon à permettre aux représentants des travailleurs de se réunir avec la direction centrale et d’obtenir une réponse motivée à tout</w:t>
      </w:r>
      <w:r>
        <w:t xml:space="preserve"> avis qu’ils pourraient émettre.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6F9" w:rsidRDefault="002D36F9">
    <w:r>
      <w:rPr>
        <w:noProof/>
        <w:lang w:val="en-GB" w:eastAsia="en-GB"/>
      </w:rPr>
      <w:drawing>
        <wp:anchor distT="0" distB="0" distL="114300" distR="114300" simplePos="0" relativeHeight="251658752" behindDoc="1" locked="0" layoutInCell="1" allowOverlap="0" wp14:anchorId="7F2B6CB1" wp14:editId="3FF5AF19">
          <wp:simplePos x="0" y="0"/>
          <wp:positionH relativeFrom="page">
            <wp:posOffset>292735</wp:posOffset>
          </wp:positionH>
          <wp:positionV relativeFrom="page">
            <wp:posOffset>424180</wp:posOffset>
          </wp:positionV>
          <wp:extent cx="1219200" cy="605155"/>
          <wp:effectExtent l="0" t="0" r="0" b="4445"/>
          <wp:wrapNone/>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6051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990D0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EA49B0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89C5F3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3DC522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2B80D5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B14962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E28A49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11E95D4"/>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3E44FDE"/>
    <w:lvl w:ilvl="0">
      <w:start w:val="1"/>
      <w:numFmt w:val="bullet"/>
      <w:lvlText w:val="o"/>
      <w:lvlJc w:val="left"/>
      <w:pPr>
        <w:tabs>
          <w:tab w:val="num" w:pos="851"/>
        </w:tabs>
        <w:ind w:left="851" w:hanging="284"/>
      </w:pPr>
      <w:rPr>
        <w:rFonts w:ascii="Courier New" w:hAnsi="Courier New" w:hint="default"/>
        <w:sz w:val="14"/>
        <w:szCs w:val="14"/>
      </w:rPr>
    </w:lvl>
  </w:abstractNum>
  <w:abstractNum w:abstractNumId="9" w15:restartNumberingAfterBreak="0">
    <w:nsid w:val="FFFFFF88"/>
    <w:multiLevelType w:val="singleLevel"/>
    <w:tmpl w:val="4D90E79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C703562"/>
    <w:lvl w:ilvl="0">
      <w:start w:val="1"/>
      <w:numFmt w:val="bullet"/>
      <w:pStyle w:val="ListBullet"/>
      <w:lvlText w:val=""/>
      <w:lvlJc w:val="left"/>
      <w:pPr>
        <w:tabs>
          <w:tab w:val="num" w:pos="567"/>
        </w:tabs>
        <w:ind w:left="567" w:hanging="283"/>
      </w:pPr>
      <w:rPr>
        <w:rFonts w:ascii="Symbol" w:hAnsi="Symbol" w:hint="default"/>
        <w:color w:val="DC0714"/>
        <w:sz w:val="24"/>
        <w:szCs w:val="24"/>
      </w:rPr>
    </w:lvl>
  </w:abstractNum>
  <w:abstractNum w:abstractNumId="11" w15:restartNumberingAfterBreak="0">
    <w:nsid w:val="111A519B"/>
    <w:multiLevelType w:val="hybridMultilevel"/>
    <w:tmpl w:val="F0A44346"/>
    <w:lvl w:ilvl="0" w:tplc="08090001">
      <w:start w:val="1"/>
      <w:numFmt w:val="bullet"/>
      <w:lvlText w:val=""/>
      <w:lvlJc w:val="left"/>
      <w:pPr>
        <w:ind w:left="1286" w:hanging="360"/>
      </w:pPr>
      <w:rPr>
        <w:rFonts w:ascii="Symbol" w:hAnsi="Symbol" w:hint="default"/>
      </w:rPr>
    </w:lvl>
    <w:lvl w:ilvl="1" w:tplc="08090003" w:tentative="1">
      <w:start w:val="1"/>
      <w:numFmt w:val="bullet"/>
      <w:lvlText w:val="o"/>
      <w:lvlJc w:val="left"/>
      <w:pPr>
        <w:ind w:left="2006" w:hanging="360"/>
      </w:pPr>
      <w:rPr>
        <w:rFonts w:ascii="Courier New" w:hAnsi="Courier New" w:cs="Courier New" w:hint="default"/>
      </w:rPr>
    </w:lvl>
    <w:lvl w:ilvl="2" w:tplc="08090005" w:tentative="1">
      <w:start w:val="1"/>
      <w:numFmt w:val="bullet"/>
      <w:lvlText w:val=""/>
      <w:lvlJc w:val="left"/>
      <w:pPr>
        <w:ind w:left="2726" w:hanging="360"/>
      </w:pPr>
      <w:rPr>
        <w:rFonts w:ascii="Wingdings" w:hAnsi="Wingdings" w:hint="default"/>
      </w:rPr>
    </w:lvl>
    <w:lvl w:ilvl="3" w:tplc="08090001" w:tentative="1">
      <w:start w:val="1"/>
      <w:numFmt w:val="bullet"/>
      <w:lvlText w:val=""/>
      <w:lvlJc w:val="left"/>
      <w:pPr>
        <w:ind w:left="3446" w:hanging="360"/>
      </w:pPr>
      <w:rPr>
        <w:rFonts w:ascii="Symbol" w:hAnsi="Symbol" w:hint="default"/>
      </w:rPr>
    </w:lvl>
    <w:lvl w:ilvl="4" w:tplc="08090003" w:tentative="1">
      <w:start w:val="1"/>
      <w:numFmt w:val="bullet"/>
      <w:lvlText w:val="o"/>
      <w:lvlJc w:val="left"/>
      <w:pPr>
        <w:ind w:left="4166" w:hanging="360"/>
      </w:pPr>
      <w:rPr>
        <w:rFonts w:ascii="Courier New" w:hAnsi="Courier New" w:cs="Courier New" w:hint="default"/>
      </w:rPr>
    </w:lvl>
    <w:lvl w:ilvl="5" w:tplc="08090005" w:tentative="1">
      <w:start w:val="1"/>
      <w:numFmt w:val="bullet"/>
      <w:lvlText w:val=""/>
      <w:lvlJc w:val="left"/>
      <w:pPr>
        <w:ind w:left="4886" w:hanging="360"/>
      </w:pPr>
      <w:rPr>
        <w:rFonts w:ascii="Wingdings" w:hAnsi="Wingdings" w:hint="default"/>
      </w:rPr>
    </w:lvl>
    <w:lvl w:ilvl="6" w:tplc="08090001" w:tentative="1">
      <w:start w:val="1"/>
      <w:numFmt w:val="bullet"/>
      <w:lvlText w:val=""/>
      <w:lvlJc w:val="left"/>
      <w:pPr>
        <w:ind w:left="5606" w:hanging="360"/>
      </w:pPr>
      <w:rPr>
        <w:rFonts w:ascii="Symbol" w:hAnsi="Symbol" w:hint="default"/>
      </w:rPr>
    </w:lvl>
    <w:lvl w:ilvl="7" w:tplc="08090003" w:tentative="1">
      <w:start w:val="1"/>
      <w:numFmt w:val="bullet"/>
      <w:lvlText w:val="o"/>
      <w:lvlJc w:val="left"/>
      <w:pPr>
        <w:ind w:left="6326" w:hanging="360"/>
      </w:pPr>
      <w:rPr>
        <w:rFonts w:ascii="Courier New" w:hAnsi="Courier New" w:cs="Courier New" w:hint="default"/>
      </w:rPr>
    </w:lvl>
    <w:lvl w:ilvl="8" w:tplc="08090005" w:tentative="1">
      <w:start w:val="1"/>
      <w:numFmt w:val="bullet"/>
      <w:lvlText w:val=""/>
      <w:lvlJc w:val="left"/>
      <w:pPr>
        <w:ind w:left="7046" w:hanging="360"/>
      </w:pPr>
      <w:rPr>
        <w:rFonts w:ascii="Wingdings" w:hAnsi="Wingdings" w:hint="default"/>
      </w:rPr>
    </w:lvl>
  </w:abstractNum>
  <w:abstractNum w:abstractNumId="12" w15:restartNumberingAfterBreak="0">
    <w:nsid w:val="1A421A99"/>
    <w:multiLevelType w:val="hybridMultilevel"/>
    <w:tmpl w:val="3614257C"/>
    <w:lvl w:ilvl="0" w:tplc="F2DEF226">
      <w:start w:val="2"/>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27C3078"/>
    <w:multiLevelType w:val="multilevel"/>
    <w:tmpl w:val="DDDE1510"/>
    <w:lvl w:ilvl="0">
      <w:start w:val="1"/>
      <w:numFmt w:val="lowerLetter"/>
      <w:pStyle w:val="List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4" w15:restartNumberingAfterBreak="0">
    <w:nsid w:val="26D60679"/>
    <w:multiLevelType w:val="multilevel"/>
    <w:tmpl w:val="D3A88EB4"/>
    <w:lvl w:ilvl="0">
      <w:start w:val="1"/>
      <w:numFmt w:val="decimal"/>
      <w:pStyle w:val="ListNumber"/>
      <w:lvlText w:val="%1."/>
      <w:lvlJc w:val="left"/>
      <w:pPr>
        <w:ind w:left="360" w:hanging="360"/>
      </w:pPr>
      <w:rPr>
        <w:rFonts w:hint="default"/>
      </w:rPr>
    </w:lvl>
    <w:lvl w:ilvl="1">
      <w:start w:val="1"/>
      <w:numFmt w:val="decimal"/>
      <w:pStyle w:val="ListNumber2X"/>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7FD1649"/>
    <w:multiLevelType w:val="hybridMultilevel"/>
    <w:tmpl w:val="C2F26C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3D6B12"/>
    <w:multiLevelType w:val="hybridMultilevel"/>
    <w:tmpl w:val="E95E4B7E"/>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42BB3049"/>
    <w:multiLevelType w:val="hybridMultilevel"/>
    <w:tmpl w:val="26340E68"/>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8" w15:restartNumberingAfterBreak="0">
    <w:nsid w:val="473877FE"/>
    <w:multiLevelType w:val="hybridMultilevel"/>
    <w:tmpl w:val="596CEC68"/>
    <w:lvl w:ilvl="0" w:tplc="040C000F">
      <w:start w:val="1"/>
      <w:numFmt w:val="decimal"/>
      <w:lvlText w:val="%1."/>
      <w:lvlJc w:val="left"/>
      <w:pPr>
        <w:ind w:left="644" w:hanging="360"/>
      </w:p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9" w15:restartNumberingAfterBreak="0">
    <w:nsid w:val="4E27746D"/>
    <w:multiLevelType w:val="hybridMultilevel"/>
    <w:tmpl w:val="75ACB9D8"/>
    <w:lvl w:ilvl="0" w:tplc="C66C96F2">
      <w:start w:val="1"/>
      <w:numFmt w:val="bullet"/>
      <w:pStyle w:val="ListBullet2"/>
      <w:lvlText w:val="o"/>
      <w:lvlJc w:val="left"/>
      <w:pPr>
        <w:tabs>
          <w:tab w:val="num" w:pos="851"/>
        </w:tabs>
        <w:ind w:left="851" w:hanging="284"/>
      </w:pPr>
      <w:rPr>
        <w:rFonts w:ascii="Courier New" w:hAnsi="Courier New" w:hint="default"/>
        <w:sz w:val="14"/>
        <w:szCs w:val="14"/>
      </w:rPr>
    </w:lvl>
    <w:lvl w:ilvl="1" w:tplc="040C0019">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0" w15:restartNumberingAfterBreak="0">
    <w:nsid w:val="53A23888"/>
    <w:multiLevelType w:val="hybridMultilevel"/>
    <w:tmpl w:val="13700E80"/>
    <w:lvl w:ilvl="0" w:tplc="75F6C0C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8947FBC"/>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25C1E83"/>
    <w:multiLevelType w:val="hybridMultilevel"/>
    <w:tmpl w:val="8A044C62"/>
    <w:lvl w:ilvl="0" w:tplc="B14E7FCC">
      <w:start w:val="1"/>
      <w:numFmt w:val="decimal"/>
      <w:pStyle w:val="ListNum"/>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6FA14D9D"/>
    <w:multiLevelType w:val="hybridMultilevel"/>
    <w:tmpl w:val="21FE6DE4"/>
    <w:lvl w:ilvl="0" w:tplc="4AA04678">
      <w:start w:val="1"/>
      <w:numFmt w:val="bullet"/>
      <w:pStyle w:val="listtir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647EF3"/>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9A805A7"/>
    <w:multiLevelType w:val="multilevel"/>
    <w:tmpl w:val="040C001D"/>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A8478DA"/>
    <w:multiLevelType w:val="hybridMultilevel"/>
    <w:tmpl w:val="22BE1C54"/>
    <w:lvl w:ilvl="0" w:tplc="12EC2A7A">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6"/>
  </w:num>
  <w:num w:numId="2">
    <w:abstractNumId w:val="17"/>
  </w:num>
  <w:num w:numId="3">
    <w:abstractNumId w:val="0"/>
  </w:num>
  <w:num w:numId="4">
    <w:abstractNumId w:val="9"/>
  </w:num>
  <w:num w:numId="5">
    <w:abstractNumId w:val="4"/>
  </w:num>
  <w:num w:numId="6">
    <w:abstractNumId w:val="3"/>
  </w:num>
  <w:num w:numId="7">
    <w:abstractNumId w:val="2"/>
  </w:num>
  <w:num w:numId="8">
    <w:abstractNumId w:val="1"/>
  </w:num>
  <w:num w:numId="9">
    <w:abstractNumId w:val="10"/>
  </w:num>
  <w:num w:numId="10">
    <w:abstractNumId w:val="8"/>
  </w:num>
  <w:num w:numId="11">
    <w:abstractNumId w:val="7"/>
  </w:num>
  <w:num w:numId="12">
    <w:abstractNumId w:val="6"/>
  </w:num>
  <w:num w:numId="13">
    <w:abstractNumId w:val="5"/>
  </w:num>
  <w:num w:numId="14">
    <w:abstractNumId w:val="26"/>
  </w:num>
  <w:num w:numId="15">
    <w:abstractNumId w:val="20"/>
  </w:num>
  <w:num w:numId="16">
    <w:abstractNumId w:val="25"/>
  </w:num>
  <w:num w:numId="17">
    <w:abstractNumId w:val="18"/>
  </w:num>
  <w:num w:numId="18">
    <w:abstractNumId w:val="19"/>
  </w:num>
  <w:num w:numId="19">
    <w:abstractNumId w:val="9"/>
  </w:num>
  <w:num w:numId="20">
    <w:abstractNumId w:val="24"/>
  </w:num>
  <w:num w:numId="21">
    <w:abstractNumId w:val="21"/>
  </w:num>
  <w:num w:numId="22">
    <w:abstractNumId w:val="13"/>
  </w:num>
  <w:num w:numId="23">
    <w:abstractNumId w:val="22"/>
  </w:num>
  <w:num w:numId="24">
    <w:abstractNumId w:val="14"/>
  </w:num>
  <w:num w:numId="25">
    <w:abstractNumId w:val="14"/>
  </w:num>
  <w:num w:numId="26">
    <w:abstractNumId w:val="23"/>
  </w:num>
  <w:num w:numId="27">
    <w:abstractNumId w:val="15"/>
  </w:num>
  <w:num w:numId="28">
    <w:abstractNumId w:val="12"/>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onsecutiveHyphenLimit w:val="2"/>
  <w:hyphenationZone w:val="425"/>
  <w:drawingGridHorizontalSpacing w:val="110"/>
  <w:drawingGridVerticalSpacing w:val="299"/>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7FA"/>
    <w:rsid w:val="000259B5"/>
    <w:rsid w:val="000324F7"/>
    <w:rsid w:val="00044ED5"/>
    <w:rsid w:val="00050043"/>
    <w:rsid w:val="00057CC9"/>
    <w:rsid w:val="00064C9F"/>
    <w:rsid w:val="000856AC"/>
    <w:rsid w:val="000858F9"/>
    <w:rsid w:val="000A03BE"/>
    <w:rsid w:val="000A211E"/>
    <w:rsid w:val="000A245D"/>
    <w:rsid w:val="000A4F73"/>
    <w:rsid w:val="000C719D"/>
    <w:rsid w:val="000E20ED"/>
    <w:rsid w:val="000E69AA"/>
    <w:rsid w:val="000F7BAD"/>
    <w:rsid w:val="00107B42"/>
    <w:rsid w:val="00114D2D"/>
    <w:rsid w:val="00123278"/>
    <w:rsid w:val="00136991"/>
    <w:rsid w:val="00156910"/>
    <w:rsid w:val="00161D4C"/>
    <w:rsid w:val="00163782"/>
    <w:rsid w:val="00170FFD"/>
    <w:rsid w:val="00175CA4"/>
    <w:rsid w:val="00176AF3"/>
    <w:rsid w:val="00183988"/>
    <w:rsid w:val="001A4526"/>
    <w:rsid w:val="001A4C15"/>
    <w:rsid w:val="001B4F5D"/>
    <w:rsid w:val="001B5027"/>
    <w:rsid w:val="001C1343"/>
    <w:rsid w:val="001F2DC5"/>
    <w:rsid w:val="00206557"/>
    <w:rsid w:val="00210F6D"/>
    <w:rsid w:val="00213576"/>
    <w:rsid w:val="00216AE7"/>
    <w:rsid w:val="002173E3"/>
    <w:rsid w:val="00225E64"/>
    <w:rsid w:val="0023436D"/>
    <w:rsid w:val="00243FBA"/>
    <w:rsid w:val="0025134E"/>
    <w:rsid w:val="00255171"/>
    <w:rsid w:val="00265FEE"/>
    <w:rsid w:val="0026745E"/>
    <w:rsid w:val="002677FA"/>
    <w:rsid w:val="00270E8B"/>
    <w:rsid w:val="00273A78"/>
    <w:rsid w:val="00280E11"/>
    <w:rsid w:val="00283642"/>
    <w:rsid w:val="00287C50"/>
    <w:rsid w:val="00291B83"/>
    <w:rsid w:val="002A3C6B"/>
    <w:rsid w:val="002B392E"/>
    <w:rsid w:val="002B39CC"/>
    <w:rsid w:val="002B74B9"/>
    <w:rsid w:val="002C26CF"/>
    <w:rsid w:val="002D36F9"/>
    <w:rsid w:val="002D7563"/>
    <w:rsid w:val="002D7DAE"/>
    <w:rsid w:val="002E6F3F"/>
    <w:rsid w:val="002F0BA8"/>
    <w:rsid w:val="002F1E73"/>
    <w:rsid w:val="002F5D35"/>
    <w:rsid w:val="00302EA7"/>
    <w:rsid w:val="00303921"/>
    <w:rsid w:val="00303C5C"/>
    <w:rsid w:val="003261FF"/>
    <w:rsid w:val="00332992"/>
    <w:rsid w:val="0033395C"/>
    <w:rsid w:val="00340983"/>
    <w:rsid w:val="0035506B"/>
    <w:rsid w:val="003555D6"/>
    <w:rsid w:val="00356465"/>
    <w:rsid w:val="00361A27"/>
    <w:rsid w:val="00361F58"/>
    <w:rsid w:val="0036453B"/>
    <w:rsid w:val="00364F8A"/>
    <w:rsid w:val="00365A73"/>
    <w:rsid w:val="00365DBD"/>
    <w:rsid w:val="00371767"/>
    <w:rsid w:val="003832D1"/>
    <w:rsid w:val="003902F7"/>
    <w:rsid w:val="00397617"/>
    <w:rsid w:val="003A1B9F"/>
    <w:rsid w:val="003C2956"/>
    <w:rsid w:val="003C4FDC"/>
    <w:rsid w:val="003C7AE9"/>
    <w:rsid w:val="003D3350"/>
    <w:rsid w:val="003D3F9C"/>
    <w:rsid w:val="003D428B"/>
    <w:rsid w:val="003D7C95"/>
    <w:rsid w:val="003E5C85"/>
    <w:rsid w:val="003F0A3E"/>
    <w:rsid w:val="003F0D11"/>
    <w:rsid w:val="003F5963"/>
    <w:rsid w:val="00400836"/>
    <w:rsid w:val="004035D9"/>
    <w:rsid w:val="00406A35"/>
    <w:rsid w:val="00420D5D"/>
    <w:rsid w:val="004271DB"/>
    <w:rsid w:val="004305CC"/>
    <w:rsid w:val="0044225B"/>
    <w:rsid w:val="00451A0B"/>
    <w:rsid w:val="004563C4"/>
    <w:rsid w:val="0047446F"/>
    <w:rsid w:val="00486EFB"/>
    <w:rsid w:val="004A09AD"/>
    <w:rsid w:val="004B4AD0"/>
    <w:rsid w:val="004B6D91"/>
    <w:rsid w:val="004B74BD"/>
    <w:rsid w:val="004C0B0C"/>
    <w:rsid w:val="004C2707"/>
    <w:rsid w:val="004C3760"/>
    <w:rsid w:val="004D2EBD"/>
    <w:rsid w:val="004D328A"/>
    <w:rsid w:val="004D3A4A"/>
    <w:rsid w:val="005126FE"/>
    <w:rsid w:val="0052558A"/>
    <w:rsid w:val="00526B35"/>
    <w:rsid w:val="00530A2F"/>
    <w:rsid w:val="00533277"/>
    <w:rsid w:val="00540C82"/>
    <w:rsid w:val="00541907"/>
    <w:rsid w:val="00544D47"/>
    <w:rsid w:val="00546FB5"/>
    <w:rsid w:val="005509F4"/>
    <w:rsid w:val="00552698"/>
    <w:rsid w:val="00561654"/>
    <w:rsid w:val="00565223"/>
    <w:rsid w:val="00582A4E"/>
    <w:rsid w:val="00583204"/>
    <w:rsid w:val="00585A5D"/>
    <w:rsid w:val="00591023"/>
    <w:rsid w:val="005A35C9"/>
    <w:rsid w:val="005A3EDB"/>
    <w:rsid w:val="005A5014"/>
    <w:rsid w:val="005B2ED3"/>
    <w:rsid w:val="005B71C1"/>
    <w:rsid w:val="005C2572"/>
    <w:rsid w:val="005D00E4"/>
    <w:rsid w:val="005D05FB"/>
    <w:rsid w:val="005D2C78"/>
    <w:rsid w:val="005D55DF"/>
    <w:rsid w:val="005D5E33"/>
    <w:rsid w:val="005D79E7"/>
    <w:rsid w:val="005F2F21"/>
    <w:rsid w:val="00611211"/>
    <w:rsid w:val="00633106"/>
    <w:rsid w:val="00633C9E"/>
    <w:rsid w:val="00664E75"/>
    <w:rsid w:val="00666842"/>
    <w:rsid w:val="006744EC"/>
    <w:rsid w:val="00676592"/>
    <w:rsid w:val="006A3DD0"/>
    <w:rsid w:val="006A48C2"/>
    <w:rsid w:val="006B44F6"/>
    <w:rsid w:val="006C47EA"/>
    <w:rsid w:val="006D3771"/>
    <w:rsid w:val="006D4B70"/>
    <w:rsid w:val="006F3024"/>
    <w:rsid w:val="0070261A"/>
    <w:rsid w:val="00702D55"/>
    <w:rsid w:val="00711308"/>
    <w:rsid w:val="00711790"/>
    <w:rsid w:val="007146B7"/>
    <w:rsid w:val="00731C6B"/>
    <w:rsid w:val="00732EAD"/>
    <w:rsid w:val="00736D26"/>
    <w:rsid w:val="007410D4"/>
    <w:rsid w:val="0074509C"/>
    <w:rsid w:val="007461C6"/>
    <w:rsid w:val="00763094"/>
    <w:rsid w:val="00764C42"/>
    <w:rsid w:val="007657E3"/>
    <w:rsid w:val="00773AE2"/>
    <w:rsid w:val="00783603"/>
    <w:rsid w:val="00784BA0"/>
    <w:rsid w:val="00794573"/>
    <w:rsid w:val="0079547C"/>
    <w:rsid w:val="007A36E4"/>
    <w:rsid w:val="007A6235"/>
    <w:rsid w:val="007A6B89"/>
    <w:rsid w:val="007B1F0D"/>
    <w:rsid w:val="007B5517"/>
    <w:rsid w:val="007B5EF9"/>
    <w:rsid w:val="007C0483"/>
    <w:rsid w:val="007C277B"/>
    <w:rsid w:val="007C6D87"/>
    <w:rsid w:val="007D351A"/>
    <w:rsid w:val="007E0BEC"/>
    <w:rsid w:val="007E0E5B"/>
    <w:rsid w:val="007F4311"/>
    <w:rsid w:val="007F61B5"/>
    <w:rsid w:val="007F6C02"/>
    <w:rsid w:val="0081233D"/>
    <w:rsid w:val="00820B45"/>
    <w:rsid w:val="00824265"/>
    <w:rsid w:val="00827047"/>
    <w:rsid w:val="0083245B"/>
    <w:rsid w:val="00835F66"/>
    <w:rsid w:val="00837778"/>
    <w:rsid w:val="00861174"/>
    <w:rsid w:val="008650A0"/>
    <w:rsid w:val="00877F7E"/>
    <w:rsid w:val="008844B7"/>
    <w:rsid w:val="00884C97"/>
    <w:rsid w:val="00891B59"/>
    <w:rsid w:val="00891D4A"/>
    <w:rsid w:val="008B0A1C"/>
    <w:rsid w:val="008B1F07"/>
    <w:rsid w:val="008B2482"/>
    <w:rsid w:val="008C1D72"/>
    <w:rsid w:val="008C49C1"/>
    <w:rsid w:val="008C79A7"/>
    <w:rsid w:val="008D0D34"/>
    <w:rsid w:val="008D2868"/>
    <w:rsid w:val="008D36B9"/>
    <w:rsid w:val="008E6D70"/>
    <w:rsid w:val="008F0750"/>
    <w:rsid w:val="00902F5A"/>
    <w:rsid w:val="009054AE"/>
    <w:rsid w:val="00907222"/>
    <w:rsid w:val="00924684"/>
    <w:rsid w:val="00927451"/>
    <w:rsid w:val="009435B1"/>
    <w:rsid w:val="009439C5"/>
    <w:rsid w:val="00945EF0"/>
    <w:rsid w:val="0094691F"/>
    <w:rsid w:val="00970794"/>
    <w:rsid w:val="00971117"/>
    <w:rsid w:val="009808D3"/>
    <w:rsid w:val="00993C7B"/>
    <w:rsid w:val="009948D8"/>
    <w:rsid w:val="009A23A4"/>
    <w:rsid w:val="009A2969"/>
    <w:rsid w:val="009A783C"/>
    <w:rsid w:val="009B4D35"/>
    <w:rsid w:val="009D0437"/>
    <w:rsid w:val="009E4F4E"/>
    <w:rsid w:val="00A16291"/>
    <w:rsid w:val="00A31CC1"/>
    <w:rsid w:val="00A339F2"/>
    <w:rsid w:val="00A4195E"/>
    <w:rsid w:val="00A47B4D"/>
    <w:rsid w:val="00A65511"/>
    <w:rsid w:val="00A67653"/>
    <w:rsid w:val="00A72BFA"/>
    <w:rsid w:val="00A91BBC"/>
    <w:rsid w:val="00AB4B92"/>
    <w:rsid w:val="00AE13E3"/>
    <w:rsid w:val="00AE3295"/>
    <w:rsid w:val="00AE4911"/>
    <w:rsid w:val="00AF321D"/>
    <w:rsid w:val="00AF47C2"/>
    <w:rsid w:val="00B10AD4"/>
    <w:rsid w:val="00B2409A"/>
    <w:rsid w:val="00B2752B"/>
    <w:rsid w:val="00B37A6B"/>
    <w:rsid w:val="00B502F6"/>
    <w:rsid w:val="00B53F26"/>
    <w:rsid w:val="00B61BBC"/>
    <w:rsid w:val="00B67246"/>
    <w:rsid w:val="00B77559"/>
    <w:rsid w:val="00B81888"/>
    <w:rsid w:val="00B82574"/>
    <w:rsid w:val="00B84467"/>
    <w:rsid w:val="00B85B94"/>
    <w:rsid w:val="00B87CBF"/>
    <w:rsid w:val="00BB457B"/>
    <w:rsid w:val="00BC29DD"/>
    <w:rsid w:val="00BC3B35"/>
    <w:rsid w:val="00BC3C13"/>
    <w:rsid w:val="00BD2CA3"/>
    <w:rsid w:val="00BD30B2"/>
    <w:rsid w:val="00BE1090"/>
    <w:rsid w:val="00BE3D76"/>
    <w:rsid w:val="00BF3B1D"/>
    <w:rsid w:val="00BF4C94"/>
    <w:rsid w:val="00BF72AF"/>
    <w:rsid w:val="00C14075"/>
    <w:rsid w:val="00C2072A"/>
    <w:rsid w:val="00C22DE3"/>
    <w:rsid w:val="00C307C2"/>
    <w:rsid w:val="00C420E0"/>
    <w:rsid w:val="00C475E0"/>
    <w:rsid w:val="00C554D4"/>
    <w:rsid w:val="00C64B3B"/>
    <w:rsid w:val="00C72021"/>
    <w:rsid w:val="00C74471"/>
    <w:rsid w:val="00C807AB"/>
    <w:rsid w:val="00C81400"/>
    <w:rsid w:val="00C9092C"/>
    <w:rsid w:val="00C92E63"/>
    <w:rsid w:val="00CA6A3B"/>
    <w:rsid w:val="00CB3B0D"/>
    <w:rsid w:val="00CB3F08"/>
    <w:rsid w:val="00CB61C8"/>
    <w:rsid w:val="00CC356D"/>
    <w:rsid w:val="00CC4606"/>
    <w:rsid w:val="00CD1455"/>
    <w:rsid w:val="00CD48EA"/>
    <w:rsid w:val="00CD5816"/>
    <w:rsid w:val="00CD73CE"/>
    <w:rsid w:val="00CE0F3D"/>
    <w:rsid w:val="00CE58C0"/>
    <w:rsid w:val="00CF00AA"/>
    <w:rsid w:val="00CF47FA"/>
    <w:rsid w:val="00D0380F"/>
    <w:rsid w:val="00D1022A"/>
    <w:rsid w:val="00D10E45"/>
    <w:rsid w:val="00D20AD0"/>
    <w:rsid w:val="00D26232"/>
    <w:rsid w:val="00D42210"/>
    <w:rsid w:val="00D4315F"/>
    <w:rsid w:val="00D5371E"/>
    <w:rsid w:val="00D6036D"/>
    <w:rsid w:val="00D628BE"/>
    <w:rsid w:val="00D756F3"/>
    <w:rsid w:val="00D838A3"/>
    <w:rsid w:val="00D9750D"/>
    <w:rsid w:val="00DA454B"/>
    <w:rsid w:val="00DB04E7"/>
    <w:rsid w:val="00DB298F"/>
    <w:rsid w:val="00DD3B59"/>
    <w:rsid w:val="00DD452B"/>
    <w:rsid w:val="00DD715E"/>
    <w:rsid w:val="00DE5B12"/>
    <w:rsid w:val="00E21D27"/>
    <w:rsid w:val="00E26241"/>
    <w:rsid w:val="00E43170"/>
    <w:rsid w:val="00E4443B"/>
    <w:rsid w:val="00E47B9E"/>
    <w:rsid w:val="00E62712"/>
    <w:rsid w:val="00E648DE"/>
    <w:rsid w:val="00E66683"/>
    <w:rsid w:val="00E71399"/>
    <w:rsid w:val="00E7411D"/>
    <w:rsid w:val="00E80710"/>
    <w:rsid w:val="00E82D6A"/>
    <w:rsid w:val="00E87853"/>
    <w:rsid w:val="00EA4225"/>
    <w:rsid w:val="00EA6FB7"/>
    <w:rsid w:val="00EB730B"/>
    <w:rsid w:val="00EC25A7"/>
    <w:rsid w:val="00ED5267"/>
    <w:rsid w:val="00ED6D09"/>
    <w:rsid w:val="00EE20D1"/>
    <w:rsid w:val="00EE4FC1"/>
    <w:rsid w:val="00EE68EF"/>
    <w:rsid w:val="00EE7CAB"/>
    <w:rsid w:val="00EF4FA1"/>
    <w:rsid w:val="00EF503E"/>
    <w:rsid w:val="00F026C9"/>
    <w:rsid w:val="00F234C6"/>
    <w:rsid w:val="00F25379"/>
    <w:rsid w:val="00F25DA1"/>
    <w:rsid w:val="00F35B8D"/>
    <w:rsid w:val="00F37C1F"/>
    <w:rsid w:val="00F432C5"/>
    <w:rsid w:val="00F44A2D"/>
    <w:rsid w:val="00F56945"/>
    <w:rsid w:val="00F60885"/>
    <w:rsid w:val="00F8508B"/>
    <w:rsid w:val="00F90C96"/>
    <w:rsid w:val="00F90E24"/>
    <w:rsid w:val="00FB6927"/>
    <w:rsid w:val="00FC375F"/>
    <w:rsid w:val="00FC76DB"/>
    <w:rsid w:val="00FD3ADB"/>
    <w:rsid w:val="00FE1270"/>
    <w:rsid w:val="00FE482E"/>
    <w:rsid w:val="00FF0D7C"/>
    <w:rsid w:val="00FF5E7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C10A5F0"/>
  <w15:docId w15:val="{6BCDE4DA-1866-47B6-8078-12F75CA43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fr-BE" w:eastAsia="fr-BE" w:bidi="ar-SA"/>
      </w:rPr>
    </w:rPrDefault>
    <w:pPrDefault/>
  </w:docDefaults>
  <w:latentStyles w:defLockedState="1" w:defUIPriority="9" w:defSemiHidden="0" w:defUnhideWhenUsed="0" w:defQFormat="0" w:count="372">
    <w:lsdException w:name="Normal" w:locked="0" w:uiPriority="0" w:qFormat="1"/>
    <w:lsdException w:name="heading 1" w:locked="0" w:uiPriority="0" w:qFormat="1"/>
    <w:lsdException w:name="heading 2" w:locked="0" w:semiHidden="1" w:uiPriority="0" w:unhideWhenUsed="1"/>
    <w:lsdException w:name="heading 3" w:locked="0" w:semiHidden="1" w:uiPriority="0" w:unhideWhenUsed="1"/>
    <w:lsdException w:name="heading 4" w:locked="0" w:semiHidden="1" w:uiPriority="0" w:unhideWhenUsed="1"/>
    <w:lsdException w:name="heading 5" w:locked="0" w:semiHidden="1" w:uiPriority="0" w:unhideWhenUsed="1"/>
    <w:lsdException w:name="heading 6" w:semiHidden="1"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99" w:unhideWhenUsed="1"/>
    <w:lsdException w:name="annotation text" w:semiHidden="1" w:unhideWhenUsed="1"/>
    <w:lsdException w:name="header" w:locked="0" w:semiHidden="1" w:uiPriority="0" w:unhideWhenUsed="1"/>
    <w:lsdException w:name="footer" w:locked="0"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99" w:unhideWhenUsed="1"/>
    <w:lsdException w:name="annotation reference" w:semiHidden="1" w:unhideWhenUsed="1"/>
    <w:lsdException w:name="line number" w:semiHidden="1" w:unhideWhenUsed="1"/>
    <w:lsdException w:name="page number" w:locked="0"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iPriority="0" w:unhideWhenUsed="1" w:qFormat="1"/>
    <w:lsdException w:name="List Number" w:locked="0" w:uiPriority="5" w:qFormat="1"/>
    <w:lsdException w:name="List 2" w:semiHidden="1" w:unhideWhenUsed="1"/>
    <w:lsdException w:name="List 3" w:semiHidden="1" w:unhideWhenUsed="1"/>
    <w:lsdException w:name="List Bullet 2" w:locked="0" w:semiHidden="1" w:uiPriority="0" w:unhideWhenUsed="1"/>
    <w:lsdException w:name="List Bullet 3" w:locked="0" w:semiHidden="1" w:uiPriority="0" w:unhideWhenUsed="1"/>
    <w:lsdException w:name="List Bullet 4" w:semiHidden="1" w:uiPriority="5" w:unhideWhenUsed="1"/>
    <w:lsdException w:name="List Bullet 5"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Closing" w:semiHidden="1" w:unhideWhenUsed="1"/>
    <w:lsdException w:name="Signature" w:semiHidden="1" w:unhideWhenUsed="1"/>
    <w:lsdException w:name="Default Paragraph Font" w:locked="0"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Date" w:locked="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semiHidden="1" w:unhideWhenUsed="1"/>
    <w:lsdException w:name="Strong" w:locked="0" w:semiHidden="1" w:uiPriority="22" w:qFormat="1"/>
    <w:lsdException w:name="Document Map" w:semiHidden="1" w:unhideWhenUsed="1"/>
    <w:lsdException w:name="Plain Text" w:semiHidden="1" w:uiPriority="99"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iPriority="0" w:unhideWhenUsed="1"/>
    <w:lsdException w:name="Table Grid" w:locked="0" w:uiPriority="0"/>
    <w:lsdException w:name="Table Theme" w:semiHidden="1" w:uiPriority="0"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locked="0"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atentStyles>
  <w:style w:type="paragraph" w:default="1" w:styleId="Normal">
    <w:name w:val="Normal"/>
    <w:aliases w:val="Normal EN"/>
    <w:qFormat/>
    <w:rsid w:val="0094691F"/>
    <w:pPr>
      <w:spacing w:line="240" w:lineRule="exact"/>
      <w:jc w:val="both"/>
    </w:pPr>
  </w:style>
  <w:style w:type="paragraph" w:styleId="Heading1">
    <w:name w:val="heading 1"/>
    <w:basedOn w:val="Normal"/>
    <w:next w:val="Normal"/>
    <w:link w:val="Heading1Char"/>
    <w:uiPriority w:val="3"/>
    <w:qFormat/>
    <w:rsid w:val="00107B42"/>
    <w:pPr>
      <w:keepNext/>
      <w:keepLines/>
      <w:pBdr>
        <w:bottom w:val="single" w:sz="2" w:space="1" w:color="auto"/>
      </w:pBdr>
      <w:jc w:val="left"/>
      <w:outlineLvl w:val="0"/>
    </w:pPr>
    <w:rPr>
      <w:rFonts w:eastAsia="MS Gothic"/>
      <w:b/>
      <w:bCs/>
    </w:rPr>
  </w:style>
  <w:style w:type="paragraph" w:styleId="Heading2">
    <w:name w:val="heading 2"/>
    <w:basedOn w:val="Normal"/>
    <w:next w:val="Normal"/>
    <w:link w:val="Heading2Char"/>
    <w:uiPriority w:val="3"/>
    <w:rsid w:val="00361A27"/>
    <w:pPr>
      <w:spacing w:before="240" w:after="60" w:line="420" w:lineRule="exact"/>
      <w:jc w:val="left"/>
      <w:outlineLvl w:val="1"/>
    </w:pPr>
    <w:rPr>
      <w:rFonts w:eastAsia="MS Gothic"/>
      <w:b/>
      <w:bCs/>
      <w:sz w:val="34"/>
      <w:szCs w:val="34"/>
    </w:rPr>
  </w:style>
  <w:style w:type="paragraph" w:styleId="Heading3">
    <w:name w:val="heading 3"/>
    <w:basedOn w:val="Normal"/>
    <w:next w:val="Normal"/>
    <w:link w:val="Heading3Char"/>
    <w:uiPriority w:val="3"/>
    <w:rsid w:val="00530A2F"/>
    <w:pPr>
      <w:keepNext/>
      <w:spacing w:before="240" w:after="60" w:line="300" w:lineRule="exact"/>
      <w:jc w:val="left"/>
      <w:outlineLvl w:val="2"/>
    </w:pPr>
    <w:rPr>
      <w:rFonts w:eastAsia="MS Gothic"/>
      <w:b/>
      <w:bCs/>
      <w:color w:val="C4262E"/>
    </w:rPr>
  </w:style>
  <w:style w:type="paragraph" w:styleId="Heading4">
    <w:name w:val="heading 4"/>
    <w:basedOn w:val="Normal"/>
    <w:next w:val="Normal"/>
    <w:link w:val="Heading4Char"/>
    <w:uiPriority w:val="3"/>
    <w:rsid w:val="004C0B0C"/>
    <w:pPr>
      <w:keepNext/>
      <w:keepLines/>
      <w:spacing w:before="200"/>
      <w:jc w:val="left"/>
      <w:outlineLvl w:val="3"/>
    </w:pPr>
    <w:rPr>
      <w:rFonts w:eastAsia="MS Gothic"/>
      <w:b/>
      <w:bCs/>
    </w:rPr>
  </w:style>
  <w:style w:type="paragraph" w:styleId="Heading5">
    <w:name w:val="heading 5"/>
    <w:basedOn w:val="Normal"/>
    <w:next w:val="Normal"/>
    <w:link w:val="Heading5Char"/>
    <w:uiPriority w:val="1"/>
    <w:semiHidden/>
    <w:rsid w:val="00AF47C2"/>
    <w:pPr>
      <w:keepNext/>
      <w:keepLines/>
      <w:spacing w:before="200"/>
      <w:outlineLvl w:val="4"/>
    </w:pPr>
    <w:rPr>
      <w:rFonts w:ascii="Calibri" w:eastAsia="MS Gothic" w:hAnsi="Calibri"/>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3"/>
    <w:rsid w:val="00CF47FA"/>
    <w:rPr>
      <w:rFonts w:ascii="Arial" w:eastAsia="MS Gothic" w:hAnsi="Arial" w:cs="Times New Roman"/>
      <w:b/>
      <w:bCs/>
      <w:sz w:val="22"/>
      <w:lang w:val="en-GB" w:eastAsia="en-GB"/>
    </w:rPr>
  </w:style>
  <w:style w:type="character" w:customStyle="1" w:styleId="Heading2Char">
    <w:name w:val="Heading 2 Char"/>
    <w:link w:val="Heading2"/>
    <w:uiPriority w:val="3"/>
    <w:rsid w:val="00CF47FA"/>
    <w:rPr>
      <w:rFonts w:ascii="Arial" w:eastAsia="MS Gothic" w:hAnsi="Arial"/>
      <w:b/>
      <w:bCs/>
      <w:sz w:val="34"/>
      <w:szCs w:val="34"/>
      <w:lang w:val="en-GB" w:eastAsia="en-GB"/>
    </w:rPr>
  </w:style>
  <w:style w:type="character" w:customStyle="1" w:styleId="Heading3Char">
    <w:name w:val="Heading 3 Char"/>
    <w:link w:val="Heading3"/>
    <w:uiPriority w:val="3"/>
    <w:rsid w:val="00CF47FA"/>
    <w:rPr>
      <w:rFonts w:ascii="Arial" w:eastAsia="MS Gothic" w:hAnsi="Arial"/>
      <w:b/>
      <w:bCs/>
      <w:color w:val="C4262E"/>
      <w:sz w:val="22"/>
      <w:szCs w:val="22"/>
      <w:lang w:val="en-GB" w:eastAsia="en-GB"/>
    </w:rPr>
  </w:style>
  <w:style w:type="character" w:customStyle="1" w:styleId="Heading4Char">
    <w:name w:val="Heading 4 Char"/>
    <w:link w:val="Heading4"/>
    <w:uiPriority w:val="3"/>
    <w:rsid w:val="00CF47FA"/>
    <w:rPr>
      <w:rFonts w:ascii="Arial" w:eastAsia="MS Gothic" w:hAnsi="Arial" w:cs="Times New Roman"/>
      <w:b/>
      <w:bCs/>
      <w:sz w:val="22"/>
      <w:lang w:val="en-GB" w:eastAsia="en-GB"/>
    </w:rPr>
  </w:style>
  <w:style w:type="character" w:styleId="Hyperlink">
    <w:name w:val="Hyperlink"/>
    <w:uiPriority w:val="99"/>
    <w:rsid w:val="00E4443B"/>
    <w:rPr>
      <w:rFonts w:ascii="Arial" w:hAnsi="Arial"/>
      <w:color w:val="0000FF"/>
      <w:u w:val="single"/>
    </w:rPr>
  </w:style>
  <w:style w:type="paragraph" w:styleId="FootnoteText">
    <w:name w:val="footnote text"/>
    <w:basedOn w:val="Normal"/>
    <w:link w:val="FootnoteTextChar"/>
    <w:uiPriority w:val="99"/>
    <w:semiHidden/>
    <w:rsid w:val="00F37C1F"/>
    <w:pPr>
      <w:jc w:val="left"/>
    </w:pPr>
    <w:rPr>
      <w:i/>
      <w:iCs/>
      <w:color w:val="425767"/>
      <w:sz w:val="16"/>
      <w:szCs w:val="16"/>
      <w:lang w:eastAsia="fr-FR"/>
    </w:rPr>
  </w:style>
  <w:style w:type="character" w:styleId="FootnoteReference">
    <w:name w:val="footnote reference"/>
    <w:uiPriority w:val="99"/>
    <w:semiHidden/>
    <w:rsid w:val="004C2707"/>
    <w:rPr>
      <w:rFonts w:ascii="Arial" w:hAnsi="Arial"/>
      <w:b w:val="0"/>
      <w:bCs w:val="0"/>
      <w:i w:val="0"/>
      <w:iCs w:val="0"/>
      <w:vertAlign w:val="superscript"/>
      <w:lang w:val="fr-FR"/>
    </w:rPr>
  </w:style>
  <w:style w:type="paragraph" w:customStyle="1" w:styleId="addressaddressee">
    <w:name w:val="address addressee"/>
    <w:basedOn w:val="addressee"/>
    <w:uiPriority w:val="6"/>
    <w:rsid w:val="009E4F4E"/>
    <w:rPr>
      <w:sz w:val="16"/>
      <w:szCs w:val="14"/>
    </w:rPr>
  </w:style>
  <w:style w:type="paragraph" w:customStyle="1" w:styleId="addressee">
    <w:name w:val="addressee"/>
    <w:basedOn w:val="Normal"/>
    <w:uiPriority w:val="6"/>
    <w:rsid w:val="004C0B0C"/>
    <w:pPr>
      <w:jc w:val="right"/>
    </w:pPr>
  </w:style>
  <w:style w:type="paragraph" w:customStyle="1" w:styleId="legendlgende">
    <w:name w:val="legend/légende"/>
    <w:basedOn w:val="FootnoteText"/>
    <w:uiPriority w:val="5"/>
    <w:rsid w:val="00530A2F"/>
    <w:rPr>
      <w:color w:val="C4262E"/>
    </w:rPr>
  </w:style>
  <w:style w:type="paragraph" w:customStyle="1" w:styleId="introductionchapo">
    <w:name w:val="introduction/chapo"/>
    <w:basedOn w:val="Normal"/>
    <w:uiPriority w:val="5"/>
    <w:rsid w:val="004C0B0C"/>
    <w:pPr>
      <w:spacing w:line="360" w:lineRule="exact"/>
      <w:jc w:val="left"/>
    </w:pPr>
    <w:rPr>
      <w:i/>
      <w:iCs/>
      <w:color w:val="00141E"/>
      <w:sz w:val="26"/>
      <w:szCs w:val="26"/>
    </w:rPr>
  </w:style>
  <w:style w:type="table" w:customStyle="1" w:styleId="tabletableaucadre">
    <w:name w:val="table/tableau cadre"/>
    <w:basedOn w:val="TableNormal"/>
    <w:rsid w:val="00D9750D"/>
    <w:pPr>
      <w:spacing w:before="60" w:after="60"/>
    </w:pPr>
    <w:rPr>
      <w:sz w:val="18"/>
      <w:szCs w:val="18"/>
    </w:rPr>
    <w:tblPr>
      <w:tblBorders>
        <w:top w:val="single" w:sz="2" w:space="0" w:color="435F72"/>
        <w:left w:val="single" w:sz="2" w:space="0" w:color="435F72"/>
        <w:bottom w:val="single" w:sz="2" w:space="0" w:color="435F72"/>
        <w:right w:val="single" w:sz="2" w:space="0" w:color="435F72"/>
        <w:insideH w:val="single" w:sz="2" w:space="0" w:color="425767"/>
        <w:insideV w:val="single" w:sz="2" w:space="0" w:color="425767"/>
      </w:tblBorders>
    </w:tblPr>
    <w:tcPr>
      <w:shd w:val="clear" w:color="auto" w:fill="auto"/>
      <w:tcMar>
        <w:top w:w="0" w:type="dxa"/>
        <w:left w:w="142" w:type="dxa"/>
        <w:bottom w:w="0" w:type="dxa"/>
        <w:right w:w="142" w:type="dxa"/>
      </w:tcMar>
    </w:tcPr>
  </w:style>
  <w:style w:type="paragraph" w:customStyle="1" w:styleId="expditeurlieudate">
    <w:name w:val="expéditeur/lieu–date"/>
    <w:basedOn w:val="Normal"/>
    <w:uiPriority w:val="5"/>
    <w:rsid w:val="009E4F4E"/>
    <w:pPr>
      <w:framePr w:w="5154" w:h="727" w:hRule="exact" w:hSpace="227" w:vSpace="142" w:wrap="notBeside" w:vAnchor="page" w:hAnchor="page" w:x="5635" w:y="1265" w:anchorLock="1"/>
      <w:shd w:val="solid" w:color="FFFFFF" w:fill="FFFFFF"/>
      <w:tabs>
        <w:tab w:val="center" w:pos="4153"/>
        <w:tab w:val="right" w:pos="8306"/>
      </w:tabs>
      <w:jc w:val="right"/>
    </w:pPr>
    <w:rPr>
      <w:rFonts w:cs="Microsoft Sans Serif"/>
      <w:color w:val="C4262E"/>
      <w:sz w:val="16"/>
      <w:szCs w:val="14"/>
    </w:rPr>
  </w:style>
  <w:style w:type="paragraph" w:customStyle="1" w:styleId="Paragraphestandard">
    <w:name w:val="[Paragraphe standard]"/>
    <w:basedOn w:val="Normal"/>
    <w:uiPriority w:val="99"/>
    <w:rsid w:val="004C0B0C"/>
    <w:pPr>
      <w:autoSpaceDE w:val="0"/>
      <w:autoSpaceDN w:val="0"/>
      <w:adjustRightInd w:val="0"/>
      <w:jc w:val="left"/>
      <w:textAlignment w:val="center"/>
    </w:pPr>
    <w:rPr>
      <w:rFonts w:cs="Times-Roman"/>
      <w:color w:val="000000"/>
      <w:lang w:eastAsia="fr-FR"/>
    </w:rPr>
  </w:style>
  <w:style w:type="table" w:styleId="TableGrid">
    <w:name w:val="Table Grid"/>
    <w:basedOn w:val="TableNormal"/>
    <w:rsid w:val="00D97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5"/>
    <w:unhideWhenUsed/>
    <w:qFormat/>
    <w:rsid w:val="00E87853"/>
    <w:pPr>
      <w:numPr>
        <w:numId w:val="9"/>
      </w:numPr>
      <w:contextualSpacing/>
    </w:pPr>
  </w:style>
  <w:style w:type="paragraph" w:styleId="ListBullet2">
    <w:name w:val="List Bullet 2"/>
    <w:basedOn w:val="Normal"/>
    <w:uiPriority w:val="5"/>
    <w:unhideWhenUsed/>
    <w:rsid w:val="004C0B0C"/>
    <w:pPr>
      <w:numPr>
        <w:numId w:val="18"/>
      </w:numPr>
      <w:contextualSpacing/>
    </w:pPr>
  </w:style>
  <w:style w:type="paragraph" w:styleId="ListBullet3">
    <w:name w:val="List Bullet 3"/>
    <w:basedOn w:val="Normal"/>
    <w:uiPriority w:val="5"/>
    <w:unhideWhenUsed/>
    <w:rsid w:val="004C0B0C"/>
    <w:pPr>
      <w:numPr>
        <w:numId w:val="11"/>
      </w:numPr>
      <w:contextualSpacing/>
    </w:pPr>
  </w:style>
  <w:style w:type="paragraph" w:styleId="Footer">
    <w:name w:val="footer"/>
    <w:basedOn w:val="Normal"/>
    <w:link w:val="FooterChar"/>
    <w:uiPriority w:val="9"/>
    <w:rsid w:val="00530A2F"/>
    <w:pPr>
      <w:tabs>
        <w:tab w:val="center" w:pos="4536"/>
        <w:tab w:val="right" w:pos="9072"/>
      </w:tabs>
      <w:spacing w:line="240" w:lineRule="auto"/>
    </w:pPr>
    <w:rPr>
      <w:color w:val="C4262E"/>
      <w:w w:val="99"/>
      <w:sz w:val="12"/>
      <w:szCs w:val="12"/>
    </w:rPr>
  </w:style>
  <w:style w:type="character" w:customStyle="1" w:styleId="FooterChar">
    <w:name w:val="Footer Char"/>
    <w:link w:val="Footer"/>
    <w:uiPriority w:val="9"/>
    <w:rsid w:val="00530A2F"/>
    <w:rPr>
      <w:rFonts w:ascii="Arial" w:hAnsi="Arial"/>
      <w:color w:val="C4262E"/>
      <w:w w:val="99"/>
      <w:sz w:val="12"/>
      <w:szCs w:val="12"/>
      <w:lang w:val="en-GB" w:eastAsia="en-GB"/>
    </w:rPr>
  </w:style>
  <w:style w:type="paragraph" w:styleId="Header">
    <w:name w:val="header"/>
    <w:basedOn w:val="Normal"/>
    <w:link w:val="HeaderChar"/>
    <w:uiPriority w:val="9"/>
    <w:rsid w:val="004C0B0C"/>
    <w:pPr>
      <w:tabs>
        <w:tab w:val="center" w:pos="4536"/>
        <w:tab w:val="right" w:pos="9072"/>
      </w:tabs>
      <w:spacing w:line="240" w:lineRule="auto"/>
    </w:pPr>
  </w:style>
  <w:style w:type="character" w:customStyle="1" w:styleId="HeaderChar">
    <w:name w:val="Header Char"/>
    <w:link w:val="Header"/>
    <w:uiPriority w:val="9"/>
    <w:rsid w:val="00711308"/>
    <w:rPr>
      <w:rFonts w:ascii="Arial" w:hAnsi="Arial"/>
      <w:lang w:val="fr-BE" w:eastAsia="en-GB"/>
    </w:rPr>
  </w:style>
  <w:style w:type="paragraph" w:customStyle="1" w:styleId="tabletableautexte">
    <w:name w:val="table/tableau texte"/>
    <w:basedOn w:val="Normal"/>
    <w:uiPriority w:val="9"/>
    <w:rsid w:val="004C0B0C"/>
    <w:pPr>
      <w:spacing w:before="60" w:after="60"/>
      <w:jc w:val="left"/>
    </w:pPr>
    <w:rPr>
      <w:sz w:val="18"/>
      <w:szCs w:val="18"/>
    </w:rPr>
  </w:style>
  <w:style w:type="paragraph" w:customStyle="1" w:styleId="committee">
    <w:name w:val="committee"/>
    <w:basedOn w:val="addressee"/>
    <w:uiPriority w:val="6"/>
    <w:rsid w:val="00AF47C2"/>
    <w:rPr>
      <w:rFonts w:ascii="Arial Black" w:hAnsi="Arial Black"/>
      <w:caps/>
    </w:rPr>
  </w:style>
  <w:style w:type="character" w:customStyle="1" w:styleId="Heading5Char">
    <w:name w:val="Heading 5 Char"/>
    <w:link w:val="Heading5"/>
    <w:uiPriority w:val="1"/>
    <w:semiHidden/>
    <w:rsid w:val="00824265"/>
    <w:rPr>
      <w:rFonts w:ascii="Calibri" w:eastAsia="MS Gothic" w:hAnsi="Calibri" w:cs="Times New Roman"/>
      <w:color w:val="243F60"/>
      <w:lang w:val="fr-BE" w:eastAsia="en-GB"/>
    </w:rPr>
  </w:style>
  <w:style w:type="character" w:styleId="PageNumber">
    <w:name w:val="page number"/>
    <w:basedOn w:val="DefaultParagraphFont"/>
    <w:uiPriority w:val="9"/>
    <w:rsid w:val="00BD30B2"/>
  </w:style>
  <w:style w:type="character" w:customStyle="1" w:styleId="Italic">
    <w:name w:val="Italic"/>
    <w:uiPriority w:val="1"/>
    <w:qFormat/>
    <w:rsid w:val="003902F7"/>
    <w:rPr>
      <w:i/>
    </w:rPr>
  </w:style>
  <w:style w:type="paragraph" w:customStyle="1" w:styleId="centered">
    <w:name w:val="centered"/>
    <w:basedOn w:val="Normal"/>
    <w:uiPriority w:val="2"/>
    <w:qFormat/>
    <w:rsid w:val="008C79A7"/>
    <w:pPr>
      <w:spacing w:line="240" w:lineRule="auto"/>
      <w:jc w:val="center"/>
    </w:pPr>
  </w:style>
  <w:style w:type="character" w:customStyle="1" w:styleId="BOLD">
    <w:name w:val="BOLD"/>
    <w:uiPriority w:val="2"/>
    <w:qFormat/>
    <w:rsid w:val="003902F7"/>
    <w:rPr>
      <w:b/>
      <w:lang w:val="en-GB"/>
    </w:rPr>
  </w:style>
  <w:style w:type="paragraph" w:styleId="BalloonText">
    <w:name w:val="Balloon Text"/>
    <w:basedOn w:val="Normal"/>
    <w:link w:val="BalloonTextChar"/>
    <w:uiPriority w:val="9"/>
    <w:rsid w:val="00F37C1F"/>
    <w:pPr>
      <w:spacing w:line="240" w:lineRule="auto"/>
    </w:pPr>
    <w:rPr>
      <w:rFonts w:cs="Tahoma"/>
      <w:sz w:val="16"/>
      <w:szCs w:val="16"/>
    </w:rPr>
  </w:style>
  <w:style w:type="character" w:customStyle="1" w:styleId="BalloonTextChar">
    <w:name w:val="Balloon Text Char"/>
    <w:link w:val="BalloonText"/>
    <w:uiPriority w:val="9"/>
    <w:rsid w:val="00F37C1F"/>
    <w:rPr>
      <w:rFonts w:ascii="Arial" w:hAnsi="Arial" w:cs="Tahoma"/>
      <w:sz w:val="16"/>
      <w:szCs w:val="16"/>
      <w:lang w:val="en-GB" w:eastAsia="en-GB"/>
    </w:rPr>
  </w:style>
  <w:style w:type="character" w:customStyle="1" w:styleId="CleanChar">
    <w:name w:val="Clean Char"/>
    <w:uiPriority w:val="1"/>
    <w:qFormat/>
    <w:rsid w:val="008C79A7"/>
    <w:rPr>
      <w:b w:val="0"/>
      <w:i w:val="0"/>
      <w:u w:val="none"/>
    </w:rPr>
  </w:style>
  <w:style w:type="character" w:customStyle="1" w:styleId="Barr">
    <w:name w:val="Barré"/>
    <w:basedOn w:val="DefaultParagraphFont"/>
    <w:uiPriority w:val="2"/>
    <w:qFormat/>
    <w:rsid w:val="003902F7"/>
    <w:rPr>
      <w:rFonts w:ascii="Arial" w:hAnsi="Arial"/>
      <w:strike/>
      <w:dstrike w:val="0"/>
      <w:lang w:val="en-GB"/>
    </w:rPr>
  </w:style>
  <w:style w:type="paragraph" w:styleId="ListNumber">
    <w:name w:val="List Number"/>
    <w:basedOn w:val="Normal"/>
    <w:uiPriority w:val="5"/>
    <w:qFormat/>
    <w:rsid w:val="0094691F"/>
    <w:pPr>
      <w:numPr>
        <w:numId w:val="25"/>
      </w:numPr>
      <w:contextualSpacing/>
    </w:pPr>
    <w:rPr>
      <w:lang w:eastAsia="fr-FR"/>
    </w:rPr>
  </w:style>
  <w:style w:type="character" w:customStyle="1" w:styleId="BoldItalic">
    <w:name w:val="Bold Italic"/>
    <w:basedOn w:val="Italic"/>
    <w:uiPriority w:val="2"/>
    <w:qFormat/>
    <w:rsid w:val="003902F7"/>
    <w:rPr>
      <w:b/>
      <w:i/>
    </w:rPr>
  </w:style>
  <w:style w:type="paragraph" w:customStyle="1" w:styleId="Listletter">
    <w:name w:val="List letter"/>
    <w:basedOn w:val="ListNumber"/>
    <w:uiPriority w:val="5"/>
    <w:qFormat/>
    <w:rsid w:val="00E87853"/>
    <w:pPr>
      <w:numPr>
        <w:numId w:val="22"/>
      </w:numPr>
    </w:pPr>
  </w:style>
  <w:style w:type="paragraph" w:customStyle="1" w:styleId="Footnote">
    <w:name w:val="Footnote"/>
    <w:basedOn w:val="FootnoteText"/>
    <w:uiPriority w:val="9"/>
    <w:qFormat/>
    <w:rsid w:val="00F37C1F"/>
  </w:style>
  <w:style w:type="character" w:styleId="PlaceholderText">
    <w:name w:val="Placeholder Text"/>
    <w:uiPriority w:val="67"/>
    <w:locked/>
    <w:rsid w:val="007C277B"/>
    <w:rPr>
      <w:color w:val="808080"/>
    </w:rPr>
  </w:style>
  <w:style w:type="paragraph" w:customStyle="1" w:styleId="Agendaitem">
    <w:name w:val="Agenda item"/>
    <w:basedOn w:val="Heading4"/>
    <w:uiPriority w:val="2"/>
    <w:semiHidden/>
    <w:rsid w:val="00F37C1F"/>
    <w:pPr>
      <w:pBdr>
        <w:bottom w:val="single" w:sz="2" w:space="1" w:color="auto"/>
      </w:pBdr>
      <w:spacing w:before="0"/>
    </w:pPr>
  </w:style>
  <w:style w:type="character" w:customStyle="1" w:styleId="BoldUnderline">
    <w:name w:val="Bold Underline"/>
    <w:uiPriority w:val="2"/>
    <w:qFormat/>
    <w:rsid w:val="003902F7"/>
    <w:rPr>
      <w:b/>
      <w:u w:val="single"/>
    </w:rPr>
  </w:style>
  <w:style w:type="character" w:customStyle="1" w:styleId="BoldUnderlineItalic">
    <w:name w:val="Bold Underline Italic"/>
    <w:basedOn w:val="BoldItalic"/>
    <w:uiPriority w:val="2"/>
    <w:qFormat/>
    <w:rsid w:val="003902F7"/>
    <w:rPr>
      <w:b/>
      <w:i/>
      <w:u w:val="single"/>
    </w:rPr>
  </w:style>
  <w:style w:type="character" w:customStyle="1" w:styleId="Underline">
    <w:name w:val="Underline"/>
    <w:uiPriority w:val="2"/>
    <w:qFormat/>
    <w:rsid w:val="003902F7"/>
    <w:rPr>
      <w:u w:val="single"/>
    </w:rPr>
  </w:style>
  <w:style w:type="paragraph" w:customStyle="1" w:styleId="ListNum">
    <w:name w:val="List Num"/>
    <w:basedOn w:val="ListParagraph"/>
    <w:uiPriority w:val="7"/>
    <w:qFormat/>
    <w:rsid w:val="0094691F"/>
    <w:pPr>
      <w:numPr>
        <w:numId w:val="23"/>
      </w:numPr>
    </w:pPr>
    <w:rPr>
      <w:rFonts w:eastAsia="Cambria"/>
      <w:lang w:val="fr-FR" w:eastAsia="fr-FR"/>
    </w:rPr>
  </w:style>
  <w:style w:type="paragraph" w:styleId="ListParagraph">
    <w:name w:val="List Paragraph"/>
    <w:basedOn w:val="Normal"/>
    <w:uiPriority w:val="34"/>
    <w:qFormat/>
    <w:locked/>
    <w:rsid w:val="0094691F"/>
    <w:pPr>
      <w:ind w:left="720"/>
      <w:contextualSpacing/>
    </w:pPr>
  </w:style>
  <w:style w:type="paragraph" w:customStyle="1" w:styleId="ListNumber2X">
    <w:name w:val="List Number 2.X"/>
    <w:basedOn w:val="ListNumber"/>
    <w:uiPriority w:val="5"/>
    <w:qFormat/>
    <w:rsid w:val="00F432C5"/>
    <w:pPr>
      <w:numPr>
        <w:ilvl w:val="1"/>
      </w:numPr>
      <w:ind w:left="850" w:hanging="493"/>
    </w:pPr>
    <w:rPr>
      <w:szCs w:val="20"/>
      <w:lang w:eastAsia="en-GB"/>
    </w:rPr>
  </w:style>
  <w:style w:type="paragraph" w:customStyle="1" w:styleId="listtiret">
    <w:name w:val="list tiret"/>
    <w:basedOn w:val="ListParagraph"/>
    <w:uiPriority w:val="5"/>
    <w:qFormat/>
    <w:rsid w:val="0094691F"/>
    <w:pPr>
      <w:numPr>
        <w:numId w:val="26"/>
      </w:numPr>
    </w:pPr>
  </w:style>
  <w:style w:type="character" w:customStyle="1" w:styleId="ItalicUnderline">
    <w:name w:val="Italic Underline"/>
    <w:basedOn w:val="Underline"/>
    <w:uiPriority w:val="1"/>
    <w:qFormat/>
    <w:rsid w:val="00732EAD"/>
    <w:rPr>
      <w:i/>
      <w:u w:val="single"/>
    </w:rPr>
  </w:style>
  <w:style w:type="character" w:customStyle="1" w:styleId="FootnoteTextChar">
    <w:name w:val="Footnote Text Char"/>
    <w:basedOn w:val="DefaultParagraphFont"/>
    <w:link w:val="FootnoteText"/>
    <w:uiPriority w:val="99"/>
    <w:semiHidden/>
    <w:rsid w:val="002677FA"/>
    <w:rPr>
      <w:i/>
      <w:iCs/>
      <w:color w:val="425767"/>
      <w:sz w:val="16"/>
      <w:szCs w:val="16"/>
      <w:lang w:eastAsia="fr-FR"/>
    </w:rPr>
  </w:style>
  <w:style w:type="paragraph" w:customStyle="1" w:styleId="CM4">
    <w:name w:val="CM4"/>
    <w:basedOn w:val="Normal"/>
    <w:next w:val="Normal"/>
    <w:uiPriority w:val="99"/>
    <w:rsid w:val="002677FA"/>
    <w:pPr>
      <w:autoSpaceDE w:val="0"/>
      <w:autoSpaceDN w:val="0"/>
      <w:adjustRightInd w:val="0"/>
      <w:spacing w:line="240" w:lineRule="auto"/>
      <w:jc w:val="left"/>
    </w:pPr>
    <w:rPr>
      <w:rFonts w:ascii="EUAlbertina" w:eastAsiaTheme="minorHAnsi" w:hAnsi="EUAlbertina" w:cstheme="minorBidi"/>
      <w:sz w:val="24"/>
      <w:szCs w:val="24"/>
      <w:lang w:val="en-GB" w:eastAsia="en-US"/>
    </w:rPr>
  </w:style>
  <w:style w:type="paragraph" w:styleId="PlainText">
    <w:name w:val="Plain Text"/>
    <w:basedOn w:val="Normal"/>
    <w:link w:val="PlainTextChar"/>
    <w:uiPriority w:val="99"/>
    <w:semiHidden/>
    <w:unhideWhenUsed/>
    <w:locked/>
    <w:rsid w:val="002677FA"/>
    <w:pPr>
      <w:spacing w:line="240" w:lineRule="auto"/>
      <w:jc w:val="left"/>
    </w:pPr>
    <w:rPr>
      <w:rFonts w:eastAsiaTheme="minorHAnsi" w:cs="Arial"/>
      <w:color w:val="000000" w:themeColor="text1"/>
      <w:lang w:val="en-GB" w:eastAsia="en-US"/>
    </w:rPr>
  </w:style>
  <w:style w:type="character" w:customStyle="1" w:styleId="PlainTextChar">
    <w:name w:val="Plain Text Char"/>
    <w:basedOn w:val="DefaultParagraphFont"/>
    <w:link w:val="PlainText"/>
    <w:uiPriority w:val="99"/>
    <w:semiHidden/>
    <w:rsid w:val="002677FA"/>
    <w:rPr>
      <w:rFonts w:eastAsiaTheme="minorHAnsi" w:cs="Arial"/>
      <w:color w:val="000000" w:themeColor="text1"/>
      <w:lang w:val="en-GB" w:eastAsia="en-US"/>
    </w:rPr>
  </w:style>
  <w:style w:type="character" w:customStyle="1" w:styleId="s1">
    <w:name w:val="s1"/>
    <w:basedOn w:val="DefaultParagraphFont"/>
    <w:rsid w:val="002677FA"/>
    <w:rPr>
      <w:rFonts w:ascii=".SFUIText-Regular" w:hAnsi=".SFUIText-Regular" w:hint="default"/>
      <w:b w:val="0"/>
      <w:bCs w:val="0"/>
      <w:i w:val="0"/>
      <w:iCs w:val="0"/>
    </w:rPr>
  </w:style>
  <w:style w:type="character" w:customStyle="1" w:styleId="apple-converted-space">
    <w:name w:val="apple-converted-space"/>
    <w:basedOn w:val="DefaultParagraphFont"/>
    <w:rsid w:val="002677FA"/>
  </w:style>
  <w:style w:type="character" w:styleId="CommentReference">
    <w:name w:val="annotation reference"/>
    <w:basedOn w:val="DefaultParagraphFont"/>
    <w:uiPriority w:val="9"/>
    <w:semiHidden/>
    <w:unhideWhenUsed/>
    <w:locked/>
    <w:rsid w:val="00C72021"/>
    <w:rPr>
      <w:sz w:val="16"/>
      <w:szCs w:val="16"/>
    </w:rPr>
  </w:style>
  <w:style w:type="paragraph" w:styleId="CommentText">
    <w:name w:val="annotation text"/>
    <w:basedOn w:val="Normal"/>
    <w:link w:val="CommentTextChar"/>
    <w:uiPriority w:val="9"/>
    <w:semiHidden/>
    <w:unhideWhenUsed/>
    <w:locked/>
    <w:rsid w:val="00C72021"/>
    <w:pPr>
      <w:spacing w:line="240" w:lineRule="auto"/>
    </w:pPr>
    <w:rPr>
      <w:sz w:val="20"/>
      <w:szCs w:val="20"/>
    </w:rPr>
  </w:style>
  <w:style w:type="character" w:customStyle="1" w:styleId="CommentTextChar">
    <w:name w:val="Comment Text Char"/>
    <w:basedOn w:val="DefaultParagraphFont"/>
    <w:link w:val="CommentText"/>
    <w:uiPriority w:val="9"/>
    <w:semiHidden/>
    <w:rsid w:val="00C72021"/>
    <w:rPr>
      <w:sz w:val="20"/>
      <w:szCs w:val="20"/>
    </w:rPr>
  </w:style>
  <w:style w:type="paragraph" w:styleId="CommentSubject">
    <w:name w:val="annotation subject"/>
    <w:basedOn w:val="CommentText"/>
    <w:next w:val="CommentText"/>
    <w:link w:val="CommentSubjectChar"/>
    <w:uiPriority w:val="9"/>
    <w:semiHidden/>
    <w:unhideWhenUsed/>
    <w:locked/>
    <w:rsid w:val="00C72021"/>
    <w:rPr>
      <w:b/>
      <w:bCs/>
    </w:rPr>
  </w:style>
  <w:style w:type="character" w:customStyle="1" w:styleId="CommentSubjectChar">
    <w:name w:val="Comment Subject Char"/>
    <w:basedOn w:val="CommentTextChar"/>
    <w:link w:val="CommentSubject"/>
    <w:uiPriority w:val="9"/>
    <w:semiHidden/>
    <w:rsid w:val="00C720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0337">
      <w:bodyDiv w:val="1"/>
      <w:marLeft w:val="0"/>
      <w:marRight w:val="0"/>
      <w:marTop w:val="0"/>
      <w:marBottom w:val="0"/>
      <w:divBdr>
        <w:top w:val="none" w:sz="0" w:space="0" w:color="auto"/>
        <w:left w:val="none" w:sz="0" w:space="0" w:color="auto"/>
        <w:bottom w:val="none" w:sz="0" w:space="0" w:color="auto"/>
        <w:right w:val="none" w:sz="0" w:space="0" w:color="auto"/>
      </w:divBdr>
      <w:divsChild>
        <w:div w:id="848254809">
          <w:marLeft w:val="0"/>
          <w:marRight w:val="0"/>
          <w:marTop w:val="0"/>
          <w:marBottom w:val="0"/>
          <w:divBdr>
            <w:top w:val="none" w:sz="0" w:space="0" w:color="auto"/>
            <w:left w:val="none" w:sz="0" w:space="0" w:color="auto"/>
            <w:bottom w:val="none" w:sz="0" w:space="0" w:color="auto"/>
            <w:right w:val="none" w:sz="0" w:space="0" w:color="auto"/>
          </w:divBdr>
          <w:divsChild>
            <w:div w:id="1628126487">
              <w:marLeft w:val="0"/>
              <w:marRight w:val="0"/>
              <w:marTop w:val="0"/>
              <w:marBottom w:val="0"/>
              <w:divBdr>
                <w:top w:val="none" w:sz="0" w:space="0" w:color="auto"/>
                <w:left w:val="none" w:sz="0" w:space="0" w:color="auto"/>
                <w:bottom w:val="none" w:sz="0" w:space="0" w:color="auto"/>
                <w:right w:val="none" w:sz="0" w:space="0" w:color="auto"/>
              </w:divBdr>
              <w:divsChild>
                <w:div w:id="577403451">
                  <w:marLeft w:val="0"/>
                  <w:marRight w:val="0"/>
                  <w:marTop w:val="0"/>
                  <w:marBottom w:val="0"/>
                  <w:divBdr>
                    <w:top w:val="none" w:sz="0" w:space="0" w:color="auto"/>
                    <w:left w:val="none" w:sz="0" w:space="0" w:color="auto"/>
                    <w:bottom w:val="none" w:sz="0" w:space="0" w:color="auto"/>
                    <w:right w:val="none" w:sz="0" w:space="0" w:color="auto"/>
                  </w:divBdr>
                  <w:divsChild>
                    <w:div w:id="586689516">
                      <w:marLeft w:val="0"/>
                      <w:marRight w:val="0"/>
                      <w:marTop w:val="0"/>
                      <w:marBottom w:val="0"/>
                      <w:divBdr>
                        <w:top w:val="none" w:sz="0" w:space="0" w:color="auto"/>
                        <w:left w:val="none" w:sz="0" w:space="0" w:color="auto"/>
                        <w:bottom w:val="none" w:sz="0" w:space="0" w:color="auto"/>
                        <w:right w:val="none" w:sz="0" w:space="0" w:color="auto"/>
                      </w:divBdr>
                      <w:divsChild>
                        <w:div w:id="125975667">
                          <w:marLeft w:val="0"/>
                          <w:marRight w:val="0"/>
                          <w:marTop w:val="0"/>
                          <w:marBottom w:val="0"/>
                          <w:divBdr>
                            <w:top w:val="none" w:sz="0" w:space="0" w:color="auto"/>
                            <w:left w:val="none" w:sz="0" w:space="0" w:color="auto"/>
                            <w:bottom w:val="none" w:sz="0" w:space="0" w:color="auto"/>
                            <w:right w:val="none" w:sz="0" w:space="0" w:color="auto"/>
                          </w:divBdr>
                          <w:divsChild>
                            <w:div w:id="158545961">
                              <w:marLeft w:val="0"/>
                              <w:marRight w:val="0"/>
                              <w:marTop w:val="0"/>
                              <w:marBottom w:val="0"/>
                              <w:divBdr>
                                <w:top w:val="none" w:sz="0" w:space="0" w:color="auto"/>
                                <w:left w:val="none" w:sz="0" w:space="0" w:color="auto"/>
                                <w:bottom w:val="none" w:sz="0" w:space="0" w:color="auto"/>
                                <w:right w:val="none" w:sz="0" w:space="0" w:color="auto"/>
                              </w:divBdr>
                              <w:divsChild>
                                <w:div w:id="1607689944">
                                  <w:marLeft w:val="0"/>
                                  <w:marRight w:val="0"/>
                                  <w:marTop w:val="0"/>
                                  <w:marBottom w:val="0"/>
                                  <w:divBdr>
                                    <w:top w:val="none" w:sz="0" w:space="0" w:color="auto"/>
                                    <w:left w:val="none" w:sz="0" w:space="0" w:color="auto"/>
                                    <w:bottom w:val="none" w:sz="0" w:space="0" w:color="auto"/>
                                    <w:right w:val="none" w:sz="0" w:space="0" w:color="auto"/>
                                  </w:divBdr>
                                  <w:divsChild>
                                    <w:div w:id="1604066518">
                                      <w:marLeft w:val="0"/>
                                      <w:marRight w:val="0"/>
                                      <w:marTop w:val="0"/>
                                      <w:marBottom w:val="0"/>
                                      <w:divBdr>
                                        <w:top w:val="none" w:sz="0" w:space="0" w:color="auto"/>
                                        <w:left w:val="none" w:sz="0" w:space="0" w:color="auto"/>
                                        <w:bottom w:val="none" w:sz="0" w:space="0" w:color="auto"/>
                                        <w:right w:val="none" w:sz="0" w:space="0" w:color="auto"/>
                                      </w:divBdr>
                                      <w:divsChild>
                                        <w:div w:id="1018656412">
                                          <w:marLeft w:val="0"/>
                                          <w:marRight w:val="0"/>
                                          <w:marTop w:val="0"/>
                                          <w:marBottom w:val="0"/>
                                          <w:divBdr>
                                            <w:top w:val="none" w:sz="0" w:space="0" w:color="auto"/>
                                            <w:left w:val="none" w:sz="0" w:space="0" w:color="auto"/>
                                            <w:bottom w:val="none" w:sz="0" w:space="0" w:color="auto"/>
                                            <w:right w:val="none" w:sz="0" w:space="0" w:color="auto"/>
                                          </w:divBdr>
                                          <w:divsChild>
                                            <w:div w:id="1181621458">
                                              <w:marLeft w:val="0"/>
                                              <w:marRight w:val="0"/>
                                              <w:marTop w:val="0"/>
                                              <w:marBottom w:val="0"/>
                                              <w:divBdr>
                                                <w:top w:val="none" w:sz="0" w:space="0" w:color="auto"/>
                                                <w:left w:val="none" w:sz="0" w:space="0" w:color="auto"/>
                                                <w:bottom w:val="none" w:sz="0" w:space="0" w:color="auto"/>
                                                <w:right w:val="none" w:sz="0" w:space="0" w:color="auto"/>
                                              </w:divBdr>
                                              <w:divsChild>
                                                <w:div w:id="1989357950">
                                                  <w:marLeft w:val="0"/>
                                                  <w:marRight w:val="0"/>
                                                  <w:marTop w:val="0"/>
                                                  <w:marBottom w:val="0"/>
                                                  <w:divBdr>
                                                    <w:top w:val="none" w:sz="0" w:space="0" w:color="auto"/>
                                                    <w:left w:val="none" w:sz="0" w:space="0" w:color="auto"/>
                                                    <w:bottom w:val="none" w:sz="0" w:space="0" w:color="auto"/>
                                                    <w:right w:val="none" w:sz="0" w:space="0" w:color="auto"/>
                                                  </w:divBdr>
                                                  <w:divsChild>
                                                    <w:div w:id="1596131925">
                                                      <w:marLeft w:val="0"/>
                                                      <w:marRight w:val="0"/>
                                                      <w:marTop w:val="0"/>
                                                      <w:marBottom w:val="0"/>
                                                      <w:divBdr>
                                                        <w:top w:val="none" w:sz="0" w:space="0" w:color="auto"/>
                                                        <w:left w:val="none" w:sz="0" w:space="0" w:color="auto"/>
                                                        <w:bottom w:val="none" w:sz="0" w:space="0" w:color="auto"/>
                                                        <w:right w:val="none" w:sz="0" w:space="0" w:color="auto"/>
                                                      </w:divBdr>
                                                      <w:divsChild>
                                                        <w:div w:id="892886152">
                                                          <w:marLeft w:val="0"/>
                                                          <w:marRight w:val="0"/>
                                                          <w:marTop w:val="0"/>
                                                          <w:marBottom w:val="0"/>
                                                          <w:divBdr>
                                                            <w:top w:val="none" w:sz="0" w:space="0" w:color="auto"/>
                                                            <w:left w:val="none" w:sz="0" w:space="0" w:color="auto"/>
                                                            <w:bottom w:val="none" w:sz="0" w:space="0" w:color="auto"/>
                                                            <w:right w:val="none" w:sz="0" w:space="0" w:color="auto"/>
                                                          </w:divBdr>
                                                          <w:divsChild>
                                                            <w:div w:id="1117025209">
                                                              <w:marLeft w:val="0"/>
                                                              <w:marRight w:val="0"/>
                                                              <w:marTop w:val="0"/>
                                                              <w:marBottom w:val="0"/>
                                                              <w:divBdr>
                                                                <w:top w:val="none" w:sz="0" w:space="0" w:color="auto"/>
                                                                <w:left w:val="none" w:sz="0" w:space="0" w:color="auto"/>
                                                                <w:bottom w:val="none" w:sz="0" w:space="0" w:color="auto"/>
                                                                <w:right w:val="none" w:sz="0" w:space="0" w:color="auto"/>
                                                              </w:divBdr>
                                                              <w:divsChild>
                                                                <w:div w:id="1379167214">
                                                                  <w:marLeft w:val="0"/>
                                                                  <w:marRight w:val="0"/>
                                                                  <w:marTop w:val="0"/>
                                                                  <w:marBottom w:val="0"/>
                                                                  <w:divBdr>
                                                                    <w:top w:val="none" w:sz="0" w:space="0" w:color="auto"/>
                                                                    <w:left w:val="none" w:sz="0" w:space="0" w:color="auto"/>
                                                                    <w:bottom w:val="none" w:sz="0" w:space="0" w:color="auto"/>
                                                                    <w:right w:val="none" w:sz="0" w:space="0" w:color="auto"/>
                                                                  </w:divBdr>
                                                                  <w:divsChild>
                                                                    <w:div w:id="373428841">
                                                                      <w:marLeft w:val="0"/>
                                                                      <w:marRight w:val="0"/>
                                                                      <w:marTop w:val="0"/>
                                                                      <w:marBottom w:val="0"/>
                                                                      <w:divBdr>
                                                                        <w:top w:val="none" w:sz="0" w:space="0" w:color="auto"/>
                                                                        <w:left w:val="none" w:sz="0" w:space="0" w:color="auto"/>
                                                                        <w:bottom w:val="none" w:sz="0" w:space="0" w:color="auto"/>
                                                                        <w:right w:val="none" w:sz="0" w:space="0" w:color="auto"/>
                                                                      </w:divBdr>
                                                                      <w:divsChild>
                                                                        <w:div w:id="74410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283955">
      <w:bodyDiv w:val="1"/>
      <w:marLeft w:val="0"/>
      <w:marRight w:val="0"/>
      <w:marTop w:val="0"/>
      <w:marBottom w:val="0"/>
      <w:divBdr>
        <w:top w:val="none" w:sz="0" w:space="0" w:color="auto"/>
        <w:left w:val="none" w:sz="0" w:space="0" w:color="auto"/>
        <w:bottom w:val="none" w:sz="0" w:space="0" w:color="auto"/>
        <w:right w:val="none" w:sz="0" w:space="0" w:color="auto"/>
      </w:divBdr>
      <w:divsChild>
        <w:div w:id="2103644555">
          <w:marLeft w:val="0"/>
          <w:marRight w:val="0"/>
          <w:marTop w:val="0"/>
          <w:marBottom w:val="0"/>
          <w:divBdr>
            <w:top w:val="none" w:sz="0" w:space="0" w:color="auto"/>
            <w:left w:val="none" w:sz="0" w:space="0" w:color="auto"/>
            <w:bottom w:val="none" w:sz="0" w:space="0" w:color="auto"/>
            <w:right w:val="none" w:sz="0" w:space="0" w:color="auto"/>
          </w:divBdr>
        </w:div>
      </w:divsChild>
    </w:div>
    <w:div w:id="106313145">
      <w:bodyDiv w:val="1"/>
      <w:marLeft w:val="0"/>
      <w:marRight w:val="0"/>
      <w:marTop w:val="0"/>
      <w:marBottom w:val="0"/>
      <w:divBdr>
        <w:top w:val="none" w:sz="0" w:space="0" w:color="auto"/>
        <w:left w:val="none" w:sz="0" w:space="0" w:color="auto"/>
        <w:bottom w:val="none" w:sz="0" w:space="0" w:color="auto"/>
        <w:right w:val="none" w:sz="0" w:space="0" w:color="auto"/>
      </w:divBdr>
    </w:div>
    <w:div w:id="146165667">
      <w:bodyDiv w:val="1"/>
      <w:marLeft w:val="0"/>
      <w:marRight w:val="0"/>
      <w:marTop w:val="0"/>
      <w:marBottom w:val="0"/>
      <w:divBdr>
        <w:top w:val="none" w:sz="0" w:space="0" w:color="auto"/>
        <w:left w:val="none" w:sz="0" w:space="0" w:color="auto"/>
        <w:bottom w:val="none" w:sz="0" w:space="0" w:color="auto"/>
        <w:right w:val="none" w:sz="0" w:space="0" w:color="auto"/>
      </w:divBdr>
    </w:div>
    <w:div w:id="930623606">
      <w:bodyDiv w:val="1"/>
      <w:marLeft w:val="0"/>
      <w:marRight w:val="0"/>
      <w:marTop w:val="0"/>
      <w:marBottom w:val="0"/>
      <w:divBdr>
        <w:top w:val="none" w:sz="0" w:space="0" w:color="auto"/>
        <w:left w:val="none" w:sz="0" w:space="0" w:color="auto"/>
        <w:bottom w:val="none" w:sz="0" w:space="0" w:color="auto"/>
        <w:right w:val="none" w:sz="0" w:space="0" w:color="auto"/>
      </w:divBdr>
    </w:div>
    <w:div w:id="1536886912">
      <w:bodyDiv w:val="1"/>
      <w:marLeft w:val="0"/>
      <w:marRight w:val="0"/>
      <w:marTop w:val="0"/>
      <w:marBottom w:val="0"/>
      <w:divBdr>
        <w:top w:val="none" w:sz="0" w:space="0" w:color="auto"/>
        <w:left w:val="none" w:sz="0" w:space="0" w:color="auto"/>
        <w:bottom w:val="none" w:sz="0" w:space="0" w:color="auto"/>
        <w:right w:val="none" w:sz="0" w:space="0" w:color="auto"/>
      </w:divBdr>
    </w:div>
    <w:div w:id="1882210279">
      <w:bodyDiv w:val="1"/>
      <w:marLeft w:val="0"/>
      <w:marRight w:val="0"/>
      <w:marTop w:val="0"/>
      <w:marBottom w:val="0"/>
      <w:divBdr>
        <w:top w:val="none" w:sz="0" w:space="0" w:color="auto"/>
        <w:left w:val="none" w:sz="0" w:space="0" w:color="auto"/>
        <w:bottom w:val="none" w:sz="0" w:space="0" w:color="auto"/>
        <w:right w:val="none" w:sz="0" w:space="0" w:color="auto"/>
      </w:divBdr>
    </w:div>
    <w:div w:id="19081789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etui.org/Publications2/Books/Benchmarking-Working-Europe-2016" TargetMode="External"/><Relationship Id="rId1" Type="http://schemas.openxmlformats.org/officeDocument/2006/relationships/hyperlink" Target="https://www.etuc.org/fr/documents/vers-un-nouveau-cadre-pour-une-plus-grande-d%C3%A9mocratie-au-travail#.V2KjNL5SFM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C8F2F-49E2-476D-A571-2D2531EC3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2065</Words>
  <Characters>11771</Characters>
  <Application>Microsoft Office Word</Application>
  <DocSecurity>4</DocSecurity>
  <Lines>98</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Brussels, 9 January 2008</vt:lpstr>
      <vt:lpstr>Brussels, 9 January 2008</vt:lpstr>
    </vt:vector>
  </TitlesOfParts>
  <Company>ETUH</Company>
  <LinksUpToDate>false</LinksUpToDate>
  <CharactersWithSpaces>13809</CharactersWithSpaces>
  <SharedDoc>false</SharedDoc>
  <HLinks>
    <vt:vector size="6" baseType="variant">
      <vt:variant>
        <vt:i4>786505</vt:i4>
      </vt:variant>
      <vt:variant>
        <vt:i4>-1</vt:i4>
      </vt:variant>
      <vt:variant>
        <vt:i4>2056</vt:i4>
      </vt:variant>
      <vt:variant>
        <vt:i4>1</vt:i4>
      </vt:variant>
      <vt:variant>
        <vt:lpwstr>CES_gabarit_Word_logo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Brussels, 9 January 2008</dc:title>
  <dc:creator>AANNET</dc:creator>
  <cp:keywords>ETUC</cp:keywords>
  <cp:lastModifiedBy>Bertolini Roxane</cp:lastModifiedBy>
  <cp:revision>2</cp:revision>
  <cp:lastPrinted>2016-06-16T15:14:00Z</cp:lastPrinted>
  <dcterms:created xsi:type="dcterms:W3CDTF">2016-06-17T12:06:00Z</dcterms:created>
  <dcterms:modified xsi:type="dcterms:W3CDTF">2016-06-17T12:06:00Z</dcterms:modified>
</cp:coreProperties>
</file>